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1E4998">
      <w:pPr>
        <w:pStyle w:val="83"/>
        <w:tabs>
          <w:tab w:val="right" w:pos="9639"/>
        </w:tabs>
        <w:spacing w:after="0"/>
        <w:rPr>
          <w:rFonts w:hint="default" w:eastAsiaTheme="minorEastAsia"/>
          <w:b/>
          <w:iCs/>
          <w:sz w:val="24"/>
          <w:szCs w:val="18"/>
          <w:highlight w:val="yellow"/>
          <w:lang w:val="en-US" w:eastAsia="zh-CN"/>
        </w:rPr>
      </w:pPr>
      <w:r>
        <w:rPr>
          <w:rFonts w:hint="eastAsia" w:cs="Arial"/>
          <w:b/>
          <w:bCs/>
          <w:sz w:val="24"/>
          <w:szCs w:val="24"/>
        </w:rPr>
        <w:t>3GPP TSG-RAN WG3 Meeting #12</w:t>
      </w:r>
      <w:r>
        <w:rPr>
          <w:rFonts w:hint="eastAsia" w:eastAsia="宋体" w:cs="Arial"/>
          <w:b/>
          <w:bCs/>
          <w:sz w:val="24"/>
          <w:szCs w:val="24"/>
          <w:lang w:val="en-US" w:eastAsia="zh-CN"/>
        </w:rPr>
        <w:t>5</w:t>
      </w:r>
      <w:r>
        <w:rPr>
          <w:b/>
          <w:i/>
          <w:sz w:val="28"/>
        </w:rPr>
        <w:tab/>
      </w:r>
      <w:r>
        <w:rPr>
          <w:b/>
          <w:iCs/>
          <w:sz w:val="24"/>
          <w:szCs w:val="18"/>
        </w:rPr>
        <w:t xml:space="preserve">        </w:t>
      </w:r>
      <w:r>
        <w:rPr>
          <w:b/>
          <w:iCs/>
          <w:sz w:val="24"/>
          <w:szCs w:val="18"/>
          <w:lang w:val="en-US"/>
        </w:rPr>
        <w:t xml:space="preserve">  </w:t>
      </w:r>
      <w:r>
        <w:rPr>
          <w:rFonts w:hint="eastAsia" w:eastAsia="宋体"/>
          <w:b/>
          <w:iCs/>
          <w:sz w:val="24"/>
          <w:szCs w:val="18"/>
          <w:lang w:val="en-US" w:eastAsia="zh-CN"/>
        </w:rPr>
        <w:t xml:space="preserve">   </w:t>
      </w:r>
      <w:r>
        <w:rPr>
          <w:rFonts w:hint="eastAsia"/>
          <w:b/>
          <w:iCs/>
          <w:sz w:val="24"/>
          <w:szCs w:val="18"/>
        </w:rPr>
        <w:t>R3-2</w:t>
      </w:r>
      <w:r>
        <w:rPr>
          <w:rFonts w:hint="eastAsia" w:eastAsiaTheme="minorEastAsia"/>
          <w:b/>
          <w:iCs/>
          <w:sz w:val="24"/>
          <w:szCs w:val="18"/>
          <w:lang w:eastAsia="zh-CN"/>
        </w:rPr>
        <w:t>4</w:t>
      </w:r>
      <w:r>
        <w:rPr>
          <w:rFonts w:hint="eastAsia" w:eastAsiaTheme="minorEastAsia"/>
          <w:b/>
          <w:iCs/>
          <w:sz w:val="24"/>
          <w:szCs w:val="18"/>
          <w:lang w:val="en-US" w:eastAsia="zh-CN"/>
        </w:rPr>
        <w:t>4580</w:t>
      </w:r>
    </w:p>
    <w:p w14:paraId="1FAE571C">
      <w:pPr>
        <w:pStyle w:val="116"/>
        <w:spacing w:line="240" w:lineRule="auto"/>
        <w:rPr>
          <w:rFonts w:ascii="Times New Roman" w:hAnsi="Times New Roman" w:eastAsia="宋体" w:cs="Times New Roman"/>
          <w:sz w:val="28"/>
          <w:szCs w:val="28"/>
          <w:lang w:val="en-US" w:eastAsia="zh-CN"/>
        </w:rPr>
      </w:pPr>
      <w:r>
        <w:rPr>
          <w:rFonts w:eastAsiaTheme="minorEastAsia"/>
          <w:szCs w:val="24"/>
        </w:rPr>
        <w:t>Maastricht, NL</w:t>
      </w:r>
      <w:r>
        <w:rPr>
          <w:rFonts w:hint="eastAsia" w:eastAsiaTheme="minorEastAsia"/>
          <w:szCs w:val="24"/>
          <w:lang w:eastAsia="zh-CN"/>
        </w:rPr>
        <w:t>,</w:t>
      </w:r>
      <w:r>
        <w:rPr>
          <w:rFonts w:eastAsiaTheme="minorEastAsia"/>
          <w:szCs w:val="24"/>
        </w:rPr>
        <w:t xml:space="preserve"> 19</w:t>
      </w:r>
      <w:r>
        <w:rPr>
          <w:rFonts w:eastAsiaTheme="minorEastAsia"/>
          <w:szCs w:val="24"/>
          <w:vertAlign w:val="superscript"/>
        </w:rPr>
        <w:t>th</w:t>
      </w:r>
      <w:r>
        <w:rPr>
          <w:rFonts w:eastAsiaTheme="minorEastAsia"/>
          <w:szCs w:val="24"/>
        </w:rPr>
        <w:t xml:space="preserve"> – 23</w:t>
      </w:r>
      <w:r>
        <w:rPr>
          <w:rFonts w:eastAsiaTheme="minorEastAsia"/>
          <w:szCs w:val="24"/>
          <w:vertAlign w:val="superscript"/>
        </w:rPr>
        <w:t>th</w:t>
      </w:r>
      <w:r>
        <w:rPr>
          <w:rFonts w:eastAsiaTheme="minorEastAsia"/>
          <w:szCs w:val="24"/>
        </w:rPr>
        <w:t xml:space="preserve"> Aug 2024</w:t>
      </w:r>
    </w:p>
    <w:p w14:paraId="0D03156D">
      <w:pPr>
        <w:pStyle w:val="83"/>
        <w:tabs>
          <w:tab w:val="left" w:pos="1985"/>
        </w:tabs>
        <w:spacing w:line="240" w:lineRule="auto"/>
        <w:rPr>
          <w:rFonts w:cs="Arial" w:eastAsiaTheme="minorEastAsia"/>
          <w:b/>
          <w:bCs/>
          <w:color w:val="000000"/>
          <w:sz w:val="24"/>
          <w:szCs w:val="24"/>
          <w:lang w:val="en-US" w:eastAsia="zh-CN"/>
        </w:rPr>
      </w:pPr>
      <w:r>
        <w:rPr>
          <w:rFonts w:ascii="Times New Roman" w:hAnsi="Times New Roman" w:cs="Arial"/>
          <w:b/>
          <w:bCs/>
          <w:sz w:val="24"/>
          <w:lang w:val="en-US"/>
        </w:rPr>
        <w:t>Agenda Item:</w:t>
      </w:r>
      <w:r>
        <w:rPr>
          <w:rFonts w:cs="Arial"/>
          <w:b/>
          <w:bCs/>
          <w:color w:val="000000"/>
          <w:sz w:val="24"/>
          <w:szCs w:val="24"/>
          <w:lang w:val="en-US"/>
        </w:rPr>
        <w:tab/>
      </w:r>
      <w:r>
        <w:rPr>
          <w:rFonts w:hint="eastAsia" w:ascii="Times New Roman" w:hAnsi="Times New Roman" w:cs="Arial" w:eastAsiaTheme="minorEastAsia"/>
          <w:b/>
          <w:bCs/>
          <w:sz w:val="24"/>
          <w:lang w:val="en-US" w:eastAsia="zh-CN"/>
        </w:rPr>
        <w:t>21.1</w:t>
      </w:r>
    </w:p>
    <w:p w14:paraId="4A59B636">
      <w:pPr>
        <w:tabs>
          <w:tab w:val="left" w:pos="1985"/>
        </w:tabs>
        <w:spacing w:after="120" w:line="240" w:lineRule="auto"/>
        <w:rPr>
          <w:rFonts w:cs="Arial" w:eastAsiaTheme="minorEastAsia"/>
          <w:b/>
          <w:bCs/>
          <w:sz w:val="24"/>
          <w:lang w:val="en-US" w:eastAsia="zh-CN"/>
        </w:rPr>
      </w:pPr>
      <w:r>
        <w:rPr>
          <w:rFonts w:cs="Arial"/>
          <w:b/>
          <w:bCs/>
          <w:sz w:val="24"/>
          <w:lang w:val="en-US"/>
        </w:rPr>
        <w:t>Source:</w:t>
      </w:r>
      <w:r>
        <w:rPr>
          <w:rFonts w:cs="Arial"/>
          <w:b/>
          <w:bCs/>
          <w:sz w:val="24"/>
          <w:lang w:val="en-US"/>
        </w:rPr>
        <w:tab/>
      </w:r>
      <w:r>
        <w:rPr>
          <w:rFonts w:cs="Arial"/>
          <w:b/>
          <w:bCs/>
          <w:sz w:val="24"/>
          <w:lang w:val="en-US"/>
        </w:rPr>
        <w:t>CMCC</w:t>
      </w:r>
    </w:p>
    <w:p w14:paraId="6EB0179F">
      <w:pPr>
        <w:spacing w:after="120" w:line="240" w:lineRule="auto"/>
        <w:ind w:left="1985" w:hanging="1985"/>
        <w:rPr>
          <w:rFonts w:cs="Arial" w:eastAsiaTheme="minorEastAsia"/>
          <w:b/>
          <w:bCs/>
          <w:color w:val="000000"/>
          <w:sz w:val="24"/>
          <w:szCs w:val="24"/>
          <w:lang w:eastAsia="zh-CN"/>
        </w:rPr>
      </w:pPr>
      <w:r>
        <w:rPr>
          <w:rFonts w:cs="Arial"/>
          <w:b/>
          <w:bCs/>
          <w:color w:val="000000"/>
          <w:sz w:val="24"/>
          <w:szCs w:val="24"/>
        </w:rPr>
        <w:t>Title:</w:t>
      </w:r>
      <w:r>
        <w:rPr>
          <w:rFonts w:cs="Arial"/>
          <w:b/>
          <w:bCs/>
          <w:color w:val="000000"/>
          <w:sz w:val="24"/>
          <w:szCs w:val="24"/>
        </w:rPr>
        <w:tab/>
      </w:r>
      <w:r>
        <w:rPr>
          <w:rFonts w:cs="Arial"/>
          <w:b/>
          <w:bCs/>
          <w:color w:val="000000"/>
          <w:sz w:val="24"/>
          <w:szCs w:val="24"/>
        </w:rPr>
        <w:t>Discussion on SA2’s LS on FS_XRM Ph2</w:t>
      </w:r>
    </w:p>
    <w:p w14:paraId="20142227">
      <w:pPr>
        <w:spacing w:after="120" w:line="240" w:lineRule="auto"/>
        <w:ind w:left="1985" w:hanging="1985"/>
        <w:rPr>
          <w:rFonts w:eastAsia="宋体" w:cs="Arial"/>
          <w:b/>
          <w:bCs/>
          <w:sz w:val="24"/>
          <w:szCs w:val="24"/>
          <w:lang w:eastAsia="zh-CN"/>
        </w:rPr>
      </w:pPr>
      <w:r>
        <w:rPr>
          <w:rFonts w:cs="Arial"/>
          <w:b/>
          <w:bCs/>
          <w:sz w:val="24"/>
          <w:szCs w:val="24"/>
        </w:rPr>
        <w:t>Document for:</w:t>
      </w:r>
      <w:r>
        <w:rPr>
          <w:rFonts w:cs="Arial"/>
          <w:b/>
          <w:bCs/>
          <w:sz w:val="24"/>
          <w:szCs w:val="24"/>
        </w:rPr>
        <w:tab/>
      </w:r>
      <w:r>
        <w:rPr>
          <w:rFonts w:eastAsia="宋体" w:cs="Arial"/>
          <w:b/>
          <w:bCs/>
          <w:sz w:val="24"/>
          <w:szCs w:val="24"/>
          <w:lang w:eastAsia="zh-CN"/>
        </w:rPr>
        <w:t>Discussion</w:t>
      </w:r>
      <w:bookmarkStart w:id="12" w:name="_GoBack"/>
      <w:bookmarkEnd w:id="12"/>
    </w:p>
    <w:p w14:paraId="0348FC87">
      <w:pPr>
        <w:pStyle w:val="2"/>
        <w:numPr>
          <w:ilvl w:val="0"/>
          <w:numId w:val="4"/>
        </w:numPr>
        <w:tabs>
          <w:tab w:val="left" w:pos="1304"/>
        </w:tabs>
        <w:spacing w:before="0" w:after="120" w:line="240" w:lineRule="auto"/>
        <w:ind w:left="567" w:hanging="567"/>
        <w:rPr>
          <w:rFonts w:cs="Arial"/>
        </w:rPr>
      </w:pPr>
      <w:bookmarkStart w:id="0" w:name="OLE_LINK1"/>
      <w:r>
        <w:rPr>
          <w:rFonts w:cs="Arial"/>
        </w:rPr>
        <w:t>Introduction</w:t>
      </w:r>
    </w:p>
    <w:p w14:paraId="4B0213E8">
      <w:pPr>
        <w:spacing w:after="120" w:line="360" w:lineRule="auto"/>
        <w:rPr>
          <w:rFonts w:ascii="Arial" w:hAnsi="Arial" w:cs="Arial"/>
          <w:lang w:val="en-US" w:eastAsia="zh-CN"/>
        </w:rPr>
      </w:pPr>
      <w:r>
        <w:rPr>
          <w:rFonts w:ascii="Arial" w:hAnsi="Arial" w:cs="Arial"/>
          <w:lang w:val="en-US" w:eastAsia="zh-CN"/>
        </w:rPr>
        <w:t xml:space="preserve">RAN3 received an LS (S2-2407351) [1] from SA2.  </w:t>
      </w:r>
      <w:bookmarkStart w:id="1" w:name="_Hlk149073305"/>
      <w:bookmarkStart w:id="2" w:name="_Hlk146817914"/>
      <w:r>
        <w:rPr>
          <w:rFonts w:ascii="Arial" w:hAnsi="Arial" w:cs="Arial"/>
          <w:lang w:val="en-US" w:eastAsia="zh-CN"/>
        </w:rPr>
        <w:t>SA2 has started to evaluate solutions for key issues for the study of XR and Media Services Ph2 (TR 23.700-70). This paper replies the related questions contained in this LS for XRM Ph2 from RAN3 perspective:</w:t>
      </w:r>
    </w:p>
    <w:p w14:paraId="29C2935C">
      <w:pPr>
        <w:pStyle w:val="77"/>
        <w:numPr>
          <w:ilvl w:val="0"/>
          <w:numId w:val="5"/>
        </w:numPr>
        <w:overflowPunct w:val="0"/>
        <w:autoSpaceDE w:val="0"/>
        <w:autoSpaceDN w:val="0"/>
        <w:spacing w:line="240" w:lineRule="auto"/>
        <w:rPr>
          <w:rFonts w:ascii="Arial" w:hAnsi="Arial" w:eastAsia="等线" w:cs="Arial"/>
          <w:lang w:eastAsia="zh-CN"/>
        </w:rPr>
      </w:pPr>
      <w:r>
        <w:rPr>
          <w:rFonts w:ascii="Arial" w:hAnsi="Arial" w:cs="Arial"/>
          <w:b/>
        </w:rPr>
        <w:t>Question</w:t>
      </w:r>
      <w:r>
        <w:rPr>
          <w:rFonts w:ascii="Arial" w:hAnsi="Arial" w:cs="Arial"/>
          <w:b/>
          <w:lang w:eastAsia="zh-CN"/>
        </w:rPr>
        <w:t xml:space="preserve">1 </w:t>
      </w:r>
      <w:r>
        <w:rPr>
          <w:rFonts w:ascii="Arial" w:hAnsi="Arial" w:cs="Arial"/>
          <w:b/>
        </w:rPr>
        <w:t>[</w:t>
      </w:r>
      <w:r>
        <w:rPr>
          <w:rFonts w:ascii="Arial" w:hAnsi="Arial" w:eastAsia="等线" w:cs="Arial"/>
          <w:b/>
          <w:lang w:eastAsia="zh-CN"/>
        </w:rPr>
        <w:t>for</w:t>
      </w:r>
      <w:r>
        <w:rPr>
          <w:rFonts w:ascii="Arial" w:hAnsi="Arial" w:cs="Arial"/>
          <w:b/>
        </w:rPr>
        <w:t xml:space="preserve"> SA4, RAN2 and RAN3]:</w:t>
      </w:r>
    </w:p>
    <w:p w14:paraId="289BEF5D">
      <w:pPr>
        <w:pStyle w:val="77"/>
        <w:numPr>
          <w:ilvl w:val="1"/>
          <w:numId w:val="5"/>
        </w:numPr>
        <w:overflowPunct w:val="0"/>
        <w:autoSpaceDE w:val="0"/>
        <w:autoSpaceDN w:val="0"/>
        <w:spacing w:line="240" w:lineRule="auto"/>
        <w:rPr>
          <w:rFonts w:ascii="Arial" w:hAnsi="Arial" w:eastAsia="等线" w:cs="Arial"/>
          <w:lang w:eastAsia="zh-CN"/>
        </w:rPr>
      </w:pPr>
      <w:r>
        <w:rPr>
          <w:rFonts w:ascii="Arial" w:hAnsi="Arial" w:eastAsia="等线" w:cs="Arial"/>
          <w:lang w:eastAsia="zh-CN"/>
        </w:rPr>
        <w:t>SA2 discusses indicating periodicity via in-band signaling (i.e. in GTP-U) for dynamic changes of the periodicity and kindly asks RAN2 and RAN3 to feedback on that approach.</w:t>
      </w:r>
    </w:p>
    <w:p w14:paraId="013A8C72">
      <w:pPr>
        <w:pStyle w:val="77"/>
        <w:numPr>
          <w:ilvl w:val="1"/>
          <w:numId w:val="5"/>
        </w:numPr>
        <w:overflowPunct w:val="0"/>
        <w:autoSpaceDE w:val="0"/>
        <w:autoSpaceDN w:val="0"/>
        <w:spacing w:line="240" w:lineRule="auto"/>
        <w:rPr>
          <w:rFonts w:ascii="Arial" w:hAnsi="Arial" w:eastAsia="等线" w:cs="Arial"/>
          <w:lang w:eastAsia="zh-CN"/>
        </w:rPr>
      </w:pPr>
      <w:r>
        <w:rPr>
          <w:rFonts w:ascii="Arial" w:hAnsi="Arial" w:eastAsia="等线" w:cs="Arial"/>
          <w:lang w:eastAsia="zh-CN"/>
        </w:rPr>
        <w:t>To SA4: is it possible for application server to provide the periodicity to the PSA UPF in RTP header extension?</w:t>
      </w:r>
    </w:p>
    <w:p w14:paraId="3E2A93BB">
      <w:pPr>
        <w:pStyle w:val="77"/>
        <w:numPr>
          <w:ilvl w:val="0"/>
          <w:numId w:val="5"/>
        </w:numPr>
        <w:overflowPunct w:val="0"/>
        <w:autoSpaceDE w:val="0"/>
        <w:autoSpaceDN w:val="0"/>
        <w:spacing w:line="240" w:lineRule="auto"/>
        <w:rPr>
          <w:rFonts w:ascii="Arial" w:hAnsi="Arial" w:eastAsia="等线" w:cs="Arial"/>
          <w:lang w:eastAsia="zh-CN"/>
        </w:rPr>
      </w:pPr>
      <w:r>
        <w:rPr>
          <w:rFonts w:ascii="Arial" w:hAnsi="Arial" w:cs="Arial"/>
          <w:b/>
        </w:rPr>
        <w:t>Question</w:t>
      </w:r>
      <w:r>
        <w:rPr>
          <w:rFonts w:ascii="Arial" w:hAnsi="Arial" w:cs="Arial"/>
          <w:b/>
          <w:lang w:eastAsia="zh-CN"/>
        </w:rPr>
        <w:t xml:space="preserve">2 </w:t>
      </w:r>
      <w:r>
        <w:rPr>
          <w:rFonts w:ascii="Arial" w:hAnsi="Arial" w:cs="Arial"/>
          <w:b/>
        </w:rPr>
        <w:t>[for SA4 and RAN2]:</w:t>
      </w:r>
      <w:r>
        <w:rPr>
          <w:rFonts w:ascii="Arial" w:hAnsi="Arial" w:eastAsia="等线" w:cs="Arial"/>
          <w:lang w:eastAsia="zh-CN"/>
        </w:rPr>
        <w:t xml:space="preserve"> There is some discussion about time to next burst.</w:t>
      </w:r>
    </w:p>
    <w:p w14:paraId="02724E1F">
      <w:pPr>
        <w:pStyle w:val="77"/>
        <w:numPr>
          <w:ilvl w:val="1"/>
          <w:numId w:val="5"/>
        </w:numPr>
        <w:overflowPunct w:val="0"/>
        <w:autoSpaceDE w:val="0"/>
        <w:autoSpaceDN w:val="0"/>
        <w:spacing w:line="240" w:lineRule="auto"/>
        <w:rPr>
          <w:rFonts w:ascii="Arial" w:hAnsi="Arial" w:eastAsia="等线" w:cs="Arial"/>
          <w:lang w:eastAsia="zh-CN"/>
        </w:rPr>
      </w:pPr>
      <w:r>
        <w:rPr>
          <w:rFonts w:ascii="Arial" w:hAnsi="Arial" w:eastAsia="等线" w:cs="Arial"/>
          <w:lang w:eastAsia="zh-CN"/>
        </w:rPr>
        <w:t>To SA4: is it possible that the application server provides the time to next burst (i.e. the time interval between the current burst and the next burst) in the 1</w:t>
      </w:r>
      <w:r>
        <w:rPr>
          <w:rFonts w:ascii="Arial" w:hAnsi="Arial" w:eastAsia="等线" w:cs="Arial"/>
          <w:vertAlign w:val="superscript"/>
          <w:lang w:eastAsia="zh-CN"/>
        </w:rPr>
        <w:t>st</w:t>
      </w:r>
      <w:r>
        <w:rPr>
          <w:rFonts w:ascii="Arial" w:hAnsi="Arial" w:eastAsia="等线" w:cs="Arial"/>
          <w:lang w:eastAsia="zh-CN"/>
        </w:rPr>
        <w:t xml:space="preserve"> packet of the burst via N6? </w:t>
      </w:r>
    </w:p>
    <w:p w14:paraId="762BAA63">
      <w:pPr>
        <w:pStyle w:val="77"/>
        <w:numPr>
          <w:ilvl w:val="1"/>
          <w:numId w:val="5"/>
        </w:numPr>
        <w:overflowPunct w:val="0"/>
        <w:autoSpaceDE w:val="0"/>
        <w:autoSpaceDN w:val="0"/>
        <w:spacing w:line="240" w:lineRule="auto"/>
        <w:rPr>
          <w:rFonts w:ascii="Arial" w:hAnsi="Arial" w:eastAsia="等线" w:cs="Arial"/>
          <w:lang w:eastAsia="zh-CN"/>
        </w:rPr>
      </w:pPr>
      <w:r>
        <w:rPr>
          <w:rFonts w:ascii="Arial" w:hAnsi="Arial" w:eastAsia="等线" w:cs="Arial"/>
          <w:lang w:eastAsia="zh-CN"/>
        </w:rPr>
        <w:t>Does RAN2 think the time to next burst is useful for RAN resource scheduling, especially with regard to the possible jitter between the NG-RAN and the Application Server?</w:t>
      </w:r>
    </w:p>
    <w:bookmarkEnd w:id="1"/>
    <w:bookmarkEnd w:id="2"/>
    <w:p w14:paraId="0434A1D7">
      <w:pPr>
        <w:pStyle w:val="77"/>
        <w:numPr>
          <w:ilvl w:val="0"/>
          <w:numId w:val="5"/>
        </w:numPr>
        <w:overflowPunct w:val="0"/>
        <w:autoSpaceDE w:val="0"/>
        <w:autoSpaceDN w:val="0"/>
        <w:spacing w:line="240" w:lineRule="auto"/>
        <w:rPr>
          <w:rFonts w:ascii="Arial" w:hAnsi="Arial" w:cs="Arial"/>
        </w:rPr>
      </w:pPr>
      <w:r>
        <w:rPr>
          <w:rFonts w:ascii="Arial" w:hAnsi="Arial" w:cs="Arial"/>
          <w:b/>
        </w:rPr>
        <w:t>Question</w:t>
      </w:r>
      <w:r>
        <w:rPr>
          <w:rFonts w:ascii="Arial" w:hAnsi="Arial" w:cs="Arial"/>
          <w:b/>
          <w:lang w:eastAsia="zh-CN"/>
        </w:rPr>
        <w:t xml:space="preserve">3 </w:t>
      </w:r>
      <w:r>
        <w:rPr>
          <w:rFonts w:ascii="Arial" w:hAnsi="Arial" w:cs="Arial"/>
          <w:b/>
        </w:rPr>
        <w:t>[for RAN</w:t>
      </w:r>
      <w:r>
        <w:rPr>
          <w:rFonts w:ascii="Arial" w:hAnsi="Arial" w:cs="Arial"/>
          <w:b/>
          <w:lang w:eastAsia="zh-CN"/>
        </w:rPr>
        <w:t>3</w:t>
      </w:r>
      <w:r>
        <w:rPr>
          <w:rFonts w:ascii="Arial" w:hAnsi="Arial" w:cs="Arial"/>
          <w:b/>
        </w:rPr>
        <w:t xml:space="preserve">]: </w:t>
      </w:r>
      <w:r>
        <w:rPr>
          <w:rFonts w:ascii="Arial" w:hAnsi="Arial" w:cs="Arial"/>
        </w:rPr>
        <w:t>SA2 discusses to support available data rate exposure for GBR QoS Flow via user plane, and kindly asks RA</w:t>
      </w:r>
      <w:r>
        <w:rPr>
          <w:rFonts w:hint="eastAsia" w:ascii="Arial" w:hAnsi="Arial" w:cs="Arial"/>
        </w:rPr>
        <w:t>N3</w:t>
      </w:r>
      <w:r>
        <w:rPr>
          <w:rFonts w:ascii="Arial" w:hAnsi="Arial" w:cs="Arial"/>
        </w:rPr>
        <w:t xml:space="preserve"> </w:t>
      </w:r>
      <w:r>
        <w:rPr>
          <w:rFonts w:hint="eastAsia" w:ascii="Arial" w:hAnsi="Arial" w:cs="Arial"/>
        </w:rPr>
        <w:t>to provide feedback if any.</w:t>
      </w:r>
    </w:p>
    <w:bookmarkEnd w:id="0"/>
    <w:p w14:paraId="70309558">
      <w:pPr>
        <w:pStyle w:val="2"/>
        <w:numPr>
          <w:ilvl w:val="0"/>
          <w:numId w:val="4"/>
        </w:numPr>
        <w:tabs>
          <w:tab w:val="left" w:pos="1304"/>
        </w:tabs>
        <w:spacing w:before="0" w:after="120" w:line="240" w:lineRule="auto"/>
        <w:ind w:left="567" w:hanging="567"/>
        <w:rPr>
          <w:rFonts w:cs="Arial"/>
        </w:rPr>
      </w:pPr>
      <w:r>
        <w:rPr>
          <w:rFonts w:hint="eastAsia" w:cs="Arial"/>
        </w:rPr>
        <w:t>Discussions</w:t>
      </w:r>
    </w:p>
    <w:p w14:paraId="0A244E87">
      <w:pPr>
        <w:pStyle w:val="3"/>
        <w:spacing w:before="120" w:after="120" w:line="240" w:lineRule="auto"/>
        <w:ind w:left="851" w:hanging="851"/>
      </w:pPr>
      <w:r>
        <w:t>2.1</w:t>
      </w:r>
      <w:r>
        <w:tab/>
      </w:r>
      <w:r>
        <w:t xml:space="preserve">Dynamic Changes of Periodicity </w:t>
      </w:r>
    </w:p>
    <w:p w14:paraId="151872D9">
      <w:pPr>
        <w:overflowPunct w:val="0"/>
        <w:autoSpaceDE w:val="0"/>
        <w:autoSpaceDN w:val="0"/>
        <w:adjustRightInd w:val="0"/>
        <w:spacing w:after="120" w:line="360" w:lineRule="auto"/>
        <w:textAlignment w:val="baseline"/>
        <w:rPr>
          <w:rFonts w:ascii="Arial" w:hAnsi="Arial" w:cs="Arial"/>
          <w:lang w:val="en-US" w:eastAsia="zh-CN"/>
        </w:rPr>
      </w:pPr>
      <w:r>
        <w:rPr>
          <w:rFonts w:ascii="Arial" w:hAnsi="Arial" w:cs="Arial"/>
          <w:lang w:val="en-US" w:eastAsia="zh-CN"/>
        </w:rPr>
        <w:t xml:space="preserve">In this section, we discuss our reponse to the following question regarding the support of dynamic changes of the periodicity. </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52161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9" w:type="dxa"/>
          </w:tcPr>
          <w:p w14:paraId="79BEF1BD">
            <w:pPr>
              <w:pStyle w:val="77"/>
              <w:numPr>
                <w:ilvl w:val="0"/>
                <w:numId w:val="5"/>
              </w:numPr>
              <w:overflowPunct w:val="0"/>
              <w:autoSpaceDE w:val="0"/>
              <w:autoSpaceDN w:val="0"/>
              <w:spacing w:line="240" w:lineRule="auto"/>
              <w:rPr>
                <w:rFonts w:ascii="Arial" w:hAnsi="Arial" w:eastAsia="等线" w:cs="Arial"/>
                <w:lang w:eastAsia="zh-CN"/>
              </w:rPr>
            </w:pPr>
            <w:r>
              <w:rPr>
                <w:rFonts w:ascii="Arial" w:hAnsi="Arial" w:cs="Arial"/>
                <w:b/>
              </w:rPr>
              <w:t>Question</w:t>
            </w:r>
            <w:r>
              <w:rPr>
                <w:rFonts w:ascii="Arial" w:hAnsi="Arial" w:cs="Arial"/>
                <w:b/>
                <w:lang w:eastAsia="zh-CN"/>
              </w:rPr>
              <w:t xml:space="preserve">1 </w:t>
            </w:r>
            <w:r>
              <w:rPr>
                <w:rFonts w:ascii="Arial" w:hAnsi="Arial" w:cs="Arial"/>
                <w:b/>
              </w:rPr>
              <w:t>[</w:t>
            </w:r>
            <w:r>
              <w:rPr>
                <w:rFonts w:ascii="Arial" w:hAnsi="Arial" w:eastAsia="等线" w:cs="Arial"/>
                <w:b/>
                <w:lang w:eastAsia="zh-CN"/>
              </w:rPr>
              <w:t>for</w:t>
            </w:r>
            <w:r>
              <w:rPr>
                <w:rFonts w:ascii="Arial" w:hAnsi="Arial" w:cs="Arial"/>
                <w:b/>
              </w:rPr>
              <w:t xml:space="preserve"> SA4, RAN2 and RAN3]:</w:t>
            </w:r>
          </w:p>
          <w:p w14:paraId="37E11CAE">
            <w:pPr>
              <w:pStyle w:val="77"/>
              <w:numPr>
                <w:ilvl w:val="1"/>
                <w:numId w:val="5"/>
              </w:numPr>
              <w:overflowPunct w:val="0"/>
              <w:autoSpaceDE w:val="0"/>
              <w:autoSpaceDN w:val="0"/>
              <w:spacing w:line="240" w:lineRule="auto"/>
            </w:pPr>
            <w:r>
              <w:rPr>
                <w:rFonts w:ascii="Arial" w:hAnsi="Arial" w:eastAsia="等线" w:cs="Arial"/>
                <w:lang w:eastAsia="zh-CN"/>
              </w:rPr>
              <w:t xml:space="preserve"> SA2 discusses indicating periodicity via in-band signaling (i.e. in GTP-U) for dynamic changes of the periodicity and kindly asks RAN2 and RAN3 to feedback on that approach.</w:t>
            </w:r>
          </w:p>
        </w:tc>
      </w:tr>
    </w:tbl>
    <w:p w14:paraId="31CDD1AE">
      <w:pPr>
        <w:overflowPunct w:val="0"/>
        <w:autoSpaceDE w:val="0"/>
        <w:autoSpaceDN w:val="0"/>
        <w:adjustRightInd w:val="0"/>
        <w:spacing w:before="120" w:after="120" w:line="360" w:lineRule="auto"/>
        <w:jc w:val="both"/>
        <w:textAlignment w:val="baseline"/>
        <w:rPr>
          <w:rFonts w:ascii="Arial" w:hAnsi="Arial" w:cs="Arial"/>
          <w:lang w:val="en-US" w:eastAsia="zh-CN"/>
        </w:rPr>
      </w:pPr>
      <w:r>
        <w:rPr>
          <w:rFonts w:hint="eastAsia" w:ascii="Arial" w:hAnsi="Arial" w:cs="Arial"/>
          <w:lang w:val="en-US" w:eastAsia="zh-CN"/>
        </w:rPr>
        <w:t>In the current specification</w:t>
      </w:r>
      <w:r>
        <w:rPr>
          <w:rFonts w:ascii="Arial" w:hAnsi="Arial" w:cs="Arial"/>
          <w:lang w:val="en-US" w:eastAsia="zh-CN"/>
        </w:rPr>
        <w:t xml:space="preserve">, the Time Sensitive Communications (TSC) Assistance Information (TSCAI) describes traffic characteristics that may be provided for use by the gNB, to allow more efficiently scheduled radio resources for periodic traffic and applying to PDU session type Ethernet and IP. Thus, TSCAI is used to provide the periodicity of a QoS flow for </w:t>
      </w:r>
      <w:r>
        <w:rPr>
          <w:rFonts w:hint="eastAsia" w:ascii="Arial" w:hAnsi="Arial" w:cs="Arial"/>
          <w:lang w:val="en-US" w:eastAsia="zh-CN"/>
        </w:rPr>
        <w:t>semi-static resource scheduling and/or configuration</w:t>
      </w:r>
      <w:r>
        <w:rPr>
          <w:rFonts w:ascii="Arial" w:hAnsi="Arial" w:cs="Arial"/>
          <w:lang w:val="en-US" w:eastAsia="zh-CN"/>
        </w:rPr>
        <w:t>. If the dynamic changes of the periodicity are slow, the existing TSCAI mechanism is sufficient to provide the periodicity information to RAN, and the value can be updated when the periodicity changes. If the dynamic changes of the periodicity are fast, updating TSCAI via CP signaling could be inefficient or not fast enough to provide the latest periodicity information to RAN. RAN3 would like SA2 provide more information and use cases on the fast dynamic changes of the periodicity.  And if the periodicity changes dynamically in a fast pace, whether the periodicity still exists. In-band signalling (i.e. in GTP-U) could ensure that periodicity information is delivered alongside user data, providing immediate updates when needed.</w:t>
      </w:r>
    </w:p>
    <w:p w14:paraId="7333ADAB">
      <w:pPr>
        <w:pStyle w:val="120"/>
        <w:numPr>
          <w:ilvl w:val="0"/>
          <w:numId w:val="0"/>
        </w:numPr>
        <w:rPr>
          <w:rFonts w:eastAsiaTheme="minorEastAsia"/>
          <w:lang w:val="en-US"/>
        </w:rPr>
      </w:pPr>
      <w:r>
        <w:rPr>
          <w:rFonts w:hint="eastAsia" w:eastAsiaTheme="minorEastAsia"/>
          <w:lang w:val="en-US"/>
        </w:rPr>
        <w:t>Observation 1: T</w:t>
      </w:r>
      <w:r>
        <w:rPr>
          <w:rFonts w:eastAsiaTheme="minorEastAsia"/>
          <w:lang w:val="en-US"/>
        </w:rPr>
        <w:t>he existing TSCAI mechanism is sufficient to provide the periodicity information to RAN if the periodicity change is slow. If the dynamic changes of the periodicity are fast, updating TSCAI via CP signaling could be inefficient or not fast enough to provide the latest periodicity information to RAN.</w:t>
      </w:r>
    </w:p>
    <w:p w14:paraId="1800E419">
      <w:pPr>
        <w:pStyle w:val="120"/>
        <w:numPr>
          <w:ilvl w:val="0"/>
          <w:numId w:val="0"/>
        </w:numPr>
        <w:rPr>
          <w:lang w:val="en-US"/>
        </w:rPr>
      </w:pPr>
      <w:r>
        <w:rPr>
          <w:rFonts w:hint="eastAsia" w:eastAsiaTheme="minorEastAsia"/>
          <w:lang w:val="en-US"/>
        </w:rPr>
        <w:t xml:space="preserve">Proposal 1: </w:t>
      </w:r>
      <w:r>
        <w:rPr>
          <w:lang w:val="en-US"/>
        </w:rPr>
        <w:t xml:space="preserve">RAN3 would like SA2 to further clarify the use cases on the fast dynamic changes of the periodicity, </w:t>
      </w:r>
      <w:r>
        <w:rPr>
          <w:rFonts w:cs="Arial"/>
          <w:lang w:val="en-US"/>
        </w:rPr>
        <w:t>whether the periodicity still exists.</w:t>
      </w:r>
    </w:p>
    <w:p w14:paraId="17700B02">
      <w:pPr>
        <w:pStyle w:val="120"/>
        <w:numPr>
          <w:ilvl w:val="0"/>
          <w:numId w:val="0"/>
        </w:numPr>
        <w:rPr>
          <w:rFonts w:eastAsiaTheme="minorEastAsia"/>
          <w:lang w:val="en-US"/>
        </w:rPr>
      </w:pPr>
      <w:r>
        <w:rPr>
          <w:rFonts w:hint="eastAsia" w:eastAsiaTheme="minorEastAsia"/>
          <w:lang w:val="en-US"/>
        </w:rPr>
        <w:t xml:space="preserve">Proposal 2: </w:t>
      </w:r>
      <w:r>
        <w:rPr>
          <w:rFonts w:eastAsiaTheme="minorEastAsia"/>
          <w:lang w:val="en-US"/>
        </w:rPr>
        <w:t>RAN3 thinks using in-band signaling in GTP-U for updating dynamic and fast periodicity change information is a practical approach to ensure timely and efficient updates.</w:t>
      </w:r>
    </w:p>
    <w:p w14:paraId="29071931">
      <w:pPr>
        <w:pStyle w:val="3"/>
        <w:spacing w:before="120" w:after="120" w:line="240" w:lineRule="auto"/>
        <w:ind w:left="851" w:hanging="851"/>
      </w:pPr>
      <w:r>
        <w:t>2.2</w:t>
      </w:r>
      <w:r>
        <w:tab/>
      </w:r>
      <w:r>
        <w:rPr>
          <w:rFonts w:cs="Arial"/>
        </w:rPr>
        <w:t>Data Rate Exposure for GBR QoS Flow</w:t>
      </w:r>
    </w:p>
    <w:p w14:paraId="3940788A">
      <w:pPr>
        <w:overflowPunct w:val="0"/>
        <w:autoSpaceDE w:val="0"/>
        <w:autoSpaceDN w:val="0"/>
        <w:adjustRightInd w:val="0"/>
        <w:spacing w:after="120" w:line="360" w:lineRule="auto"/>
        <w:textAlignment w:val="baseline"/>
        <w:rPr>
          <w:rFonts w:ascii="Arial" w:hAnsi="Arial" w:cs="Arial"/>
          <w:lang w:val="en-US" w:eastAsia="zh-CN"/>
        </w:rPr>
      </w:pPr>
      <w:r>
        <w:rPr>
          <w:rFonts w:ascii="Arial" w:hAnsi="Arial" w:cs="Arial"/>
          <w:lang w:val="en-US" w:eastAsia="zh-CN"/>
        </w:rPr>
        <w:t>In this section, we discuss our reponse to the following question regarding the support of available data rate exposure for GBR QoS Flow via user plane.</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5E436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7AA670D4">
            <w:pPr>
              <w:pStyle w:val="77"/>
              <w:numPr>
                <w:ilvl w:val="0"/>
                <w:numId w:val="5"/>
              </w:numPr>
              <w:overflowPunct w:val="0"/>
              <w:autoSpaceDE w:val="0"/>
              <w:autoSpaceDN w:val="0"/>
              <w:spacing w:line="240" w:lineRule="auto"/>
              <w:rPr>
                <w:rFonts w:ascii="Arial" w:hAnsi="Arial" w:cs="Arial"/>
                <w:lang w:eastAsia="zh-CN"/>
              </w:rPr>
            </w:pPr>
            <w:r>
              <w:rPr>
                <w:rFonts w:ascii="Arial" w:hAnsi="Arial" w:cs="Arial"/>
                <w:b/>
              </w:rPr>
              <w:t>Question</w:t>
            </w:r>
            <w:r>
              <w:rPr>
                <w:rFonts w:ascii="Arial" w:hAnsi="Arial" w:cs="Arial"/>
                <w:b/>
                <w:lang w:eastAsia="zh-CN"/>
              </w:rPr>
              <w:t xml:space="preserve">3 </w:t>
            </w:r>
            <w:r>
              <w:rPr>
                <w:rFonts w:ascii="Arial" w:hAnsi="Arial" w:cs="Arial"/>
                <w:b/>
              </w:rPr>
              <w:t>[for RAN</w:t>
            </w:r>
            <w:r>
              <w:rPr>
                <w:rFonts w:ascii="Arial" w:hAnsi="Arial" w:cs="Arial"/>
                <w:b/>
                <w:lang w:eastAsia="zh-CN"/>
              </w:rPr>
              <w:t>3</w:t>
            </w:r>
            <w:r>
              <w:rPr>
                <w:rFonts w:ascii="Arial" w:hAnsi="Arial" w:cs="Arial"/>
                <w:b/>
              </w:rPr>
              <w:t xml:space="preserve">]: </w:t>
            </w:r>
            <w:r>
              <w:rPr>
                <w:rFonts w:ascii="Arial" w:hAnsi="Arial" w:cs="Arial"/>
              </w:rPr>
              <w:t>SA2 discusses to support available data rate exposure for GBR QoS Flow via user plane, and kindly asks RA</w:t>
            </w:r>
            <w:r>
              <w:rPr>
                <w:rFonts w:hint="eastAsia" w:ascii="Arial" w:hAnsi="Arial" w:cs="Arial"/>
              </w:rPr>
              <w:t>N3</w:t>
            </w:r>
            <w:r>
              <w:rPr>
                <w:rFonts w:ascii="Arial" w:hAnsi="Arial" w:cs="Arial"/>
              </w:rPr>
              <w:t xml:space="preserve"> </w:t>
            </w:r>
            <w:r>
              <w:rPr>
                <w:rFonts w:hint="eastAsia" w:ascii="Arial" w:hAnsi="Arial" w:cs="Arial"/>
              </w:rPr>
              <w:t>to provide feedback if any.</w:t>
            </w:r>
          </w:p>
        </w:tc>
      </w:tr>
    </w:tbl>
    <w:p w14:paraId="5B6ABCB2">
      <w:pPr>
        <w:overflowPunct w:val="0"/>
        <w:autoSpaceDE w:val="0"/>
        <w:autoSpaceDN w:val="0"/>
        <w:adjustRightInd w:val="0"/>
        <w:spacing w:before="120" w:after="120" w:line="360" w:lineRule="auto"/>
        <w:jc w:val="both"/>
        <w:textAlignment w:val="baseline"/>
        <w:rPr>
          <w:rFonts w:ascii="Arial" w:hAnsi="Arial" w:cs="Arial"/>
          <w:lang w:val="en-US" w:eastAsia="zh-CN"/>
        </w:rPr>
      </w:pPr>
      <w:r>
        <w:rPr>
          <w:rFonts w:hint="eastAsia" w:ascii="Arial" w:hAnsi="Arial" w:cs="Arial"/>
          <w:lang w:val="en-US" w:eastAsia="zh-CN"/>
        </w:rPr>
        <w:t>T</w:t>
      </w:r>
      <w:r>
        <w:rPr>
          <w:rFonts w:ascii="Arial" w:hAnsi="Arial" w:cs="Arial"/>
          <w:lang w:val="en-US" w:eastAsia="zh-CN"/>
        </w:rPr>
        <w:t xml:space="preserve">his issue has already been discussed in RAN3 at the last meeting. RAN3 has replied it is feasible to estimate available data rate for GBR QoS flows, which is up to RAN implementation [2]. The detailed reply is as below. </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6BCF6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28D5DF3E">
            <w:pPr>
              <w:snapToGrid w:val="0"/>
              <w:spacing w:before="100" w:beforeAutospacing="1" w:after="100" w:afterAutospacing="1"/>
              <w:jc w:val="both"/>
              <w:rPr>
                <w:rFonts w:ascii="Arial" w:hAnsi="Arial" w:eastAsia="等线" w:cs="Arial"/>
                <w:b/>
                <w:bCs/>
              </w:rPr>
            </w:pPr>
            <w:r>
              <w:rPr>
                <w:rFonts w:ascii="Arial" w:hAnsi="Arial" w:eastAsia="等线" w:cs="Arial"/>
                <w:b/>
                <w:bCs/>
              </w:rPr>
              <w:t xml:space="preserve">[RAN3 answer to Question3]: </w:t>
            </w:r>
          </w:p>
          <w:p w14:paraId="2FE21A8D">
            <w:pPr>
              <w:snapToGrid w:val="0"/>
              <w:spacing w:before="100" w:beforeAutospacing="1" w:after="100" w:afterAutospacing="1"/>
              <w:rPr>
                <w:rFonts w:ascii="Arial" w:hAnsi="Arial" w:eastAsia="等线" w:cs="Arial"/>
                <w:lang w:val="en-US"/>
              </w:rPr>
            </w:pPr>
            <w:bookmarkStart w:id="3" w:name="_Hlk167349337"/>
            <w:r>
              <w:rPr>
                <w:rFonts w:ascii="Arial" w:hAnsi="Arial" w:eastAsia="等线" w:cs="Arial"/>
                <w:lang w:val="en-US"/>
              </w:rPr>
              <w:t>RAN3 thinks that it is feasible to estimate available data rate for GBR QoS flows, which is up to RAN implementation. Regarding the report of available data rate, companies have different views on how to provide it to core network (e.g., via CP or UP). There is no consensus on whether it is feasible for NG-RAN to estimate available data rate for non-GBR QoS flows.</w:t>
            </w:r>
          </w:p>
          <w:p w14:paraId="10216293">
            <w:pPr>
              <w:snapToGrid w:val="0"/>
              <w:spacing w:before="100" w:beforeAutospacing="1" w:after="100" w:afterAutospacing="1"/>
              <w:rPr>
                <w:rFonts w:ascii="Arial" w:hAnsi="Arial" w:eastAsia="等线" w:cs="Arial"/>
                <w:lang w:val="en-US"/>
              </w:rPr>
            </w:pPr>
            <w:r>
              <w:rPr>
                <w:rFonts w:ascii="Arial" w:hAnsi="Arial" w:eastAsia="等线" w:cs="Arial"/>
                <w:lang w:val="en-US"/>
              </w:rPr>
              <w:t>Some companies in RAN3 would like to clarify the usage of available data rate for GBR QoS flows.</w:t>
            </w:r>
            <w:bookmarkEnd w:id="3"/>
          </w:p>
        </w:tc>
      </w:tr>
    </w:tbl>
    <w:p w14:paraId="4A567FC3">
      <w:pPr>
        <w:overflowPunct w:val="0"/>
        <w:autoSpaceDE w:val="0"/>
        <w:autoSpaceDN w:val="0"/>
        <w:adjustRightInd w:val="0"/>
        <w:spacing w:before="120" w:after="120" w:line="360" w:lineRule="auto"/>
        <w:textAlignment w:val="baseline"/>
        <w:rPr>
          <w:rFonts w:ascii="Arial" w:hAnsi="Arial" w:eastAsia="等线" w:cs="Arial"/>
          <w:lang w:val="en-US"/>
        </w:rPr>
      </w:pPr>
      <w:r>
        <w:rPr>
          <w:rFonts w:ascii="Arial" w:hAnsi="Arial" w:eastAsia="等线" w:cs="Arial"/>
          <w:lang w:val="en-US"/>
        </w:rPr>
        <w:t xml:space="preserve">Regarding the question of supporting available data rate exposure for GBR QoS Flow via user plane, from RAN3 perspective, reporting such information via use plane by for example including it in GTP-U is feasible. </w:t>
      </w:r>
      <w:r>
        <w:rPr>
          <w:rFonts w:hint="eastAsia" w:ascii="Arial" w:hAnsi="Arial" w:eastAsia="等线" w:cs="Arial"/>
          <w:lang w:val="en-US" w:eastAsia="zh-CN"/>
        </w:rPr>
        <w:t xml:space="preserve">From our view, </w:t>
      </w:r>
      <w:r>
        <w:rPr>
          <w:rFonts w:ascii="Arial" w:hAnsi="Arial" w:eastAsia="等线" w:cs="Arial"/>
          <w:lang w:val="en-US"/>
        </w:rPr>
        <w:t>RAN3 will coordinate with SA2's efforts to support the exposure of available data rates for GBR QoS flows via the user plane.</w:t>
      </w:r>
    </w:p>
    <w:p w14:paraId="4F217A2A">
      <w:pPr>
        <w:pStyle w:val="120"/>
        <w:numPr>
          <w:ilvl w:val="0"/>
          <w:numId w:val="0"/>
        </w:numPr>
        <w:rPr>
          <w:lang w:val="en-US"/>
        </w:rPr>
      </w:pPr>
      <w:r>
        <w:rPr>
          <w:rFonts w:hint="eastAsia" w:eastAsiaTheme="minorEastAsia"/>
          <w:lang w:val="en-US"/>
        </w:rPr>
        <w:t xml:space="preserve">Proposal 3: </w:t>
      </w:r>
      <w:r>
        <w:rPr>
          <w:lang w:val="en-US"/>
        </w:rPr>
        <w:t>RAN3 thinks reporting data rate for GBR QoS flows via use plane by for example including it in GTP-U is feasible.</w:t>
      </w:r>
    </w:p>
    <w:p w14:paraId="26DDDC52">
      <w:pPr>
        <w:pStyle w:val="120"/>
        <w:numPr>
          <w:ilvl w:val="0"/>
          <w:numId w:val="0"/>
        </w:numPr>
        <w:rPr>
          <w:lang w:val="en-US"/>
        </w:rPr>
      </w:pPr>
    </w:p>
    <w:p w14:paraId="0ED2863D">
      <w:pPr>
        <w:pStyle w:val="2"/>
        <w:numPr>
          <w:ilvl w:val="0"/>
          <w:numId w:val="4"/>
        </w:numPr>
        <w:tabs>
          <w:tab w:val="left" w:pos="1304"/>
        </w:tabs>
        <w:spacing w:before="0" w:after="120" w:line="240" w:lineRule="auto"/>
        <w:ind w:left="567" w:hanging="567"/>
        <w:rPr>
          <w:rFonts w:cs="Arial"/>
        </w:rPr>
      </w:pPr>
      <w:r>
        <w:rPr>
          <w:rFonts w:cs="Arial"/>
        </w:rPr>
        <w:t>Conclusion</w:t>
      </w:r>
    </w:p>
    <w:p w14:paraId="7EF676D1">
      <w:pPr>
        <w:overflowPunct w:val="0"/>
        <w:autoSpaceDE w:val="0"/>
        <w:autoSpaceDN w:val="0"/>
        <w:adjustRightInd w:val="0"/>
        <w:jc w:val="both"/>
        <w:textAlignment w:val="baseline"/>
        <w:rPr>
          <w:rFonts w:ascii="Arial" w:hAnsi="Arial" w:eastAsia="等线" w:cs="Arial"/>
          <w:lang w:eastAsia="zh-CN"/>
        </w:rPr>
      </w:pPr>
      <w:r>
        <w:rPr>
          <w:rFonts w:ascii="Arial" w:hAnsi="Arial" w:eastAsia="等线" w:cs="Arial"/>
          <w:lang w:eastAsia="zh-CN"/>
        </w:rPr>
        <w:t xml:space="preserve">In this paper, we dicussed on our responses to the SA2 LS (S2-2407351). This paper also </w:t>
      </w:r>
      <w:r>
        <w:rPr>
          <w:rFonts w:hint="eastAsia" w:ascii="Arial" w:hAnsi="Arial" w:eastAsia="等线" w:cs="Arial"/>
          <w:lang w:eastAsia="zh-CN"/>
        </w:rPr>
        <w:t>provide</w:t>
      </w:r>
      <w:r>
        <w:rPr>
          <w:rFonts w:ascii="Arial" w:hAnsi="Arial" w:eastAsia="等线" w:cs="Arial"/>
          <w:lang w:eastAsia="zh-CN"/>
        </w:rPr>
        <w:t>s</w:t>
      </w:r>
      <w:r>
        <w:rPr>
          <w:rFonts w:hint="eastAsia" w:ascii="Arial" w:hAnsi="Arial" w:eastAsia="等线" w:cs="Arial"/>
          <w:lang w:eastAsia="zh-CN"/>
        </w:rPr>
        <w:t xml:space="preserve"> draft reply LS</w:t>
      </w:r>
      <w:r>
        <w:rPr>
          <w:rFonts w:ascii="Arial" w:hAnsi="Arial" w:eastAsia="等线" w:cs="Arial"/>
          <w:lang w:eastAsia="zh-CN"/>
        </w:rPr>
        <w:t xml:space="preserve"> in annex.</w:t>
      </w:r>
    </w:p>
    <w:p w14:paraId="4254EEC4">
      <w:pPr>
        <w:overflowPunct w:val="0"/>
        <w:autoSpaceDE w:val="0"/>
        <w:autoSpaceDN w:val="0"/>
        <w:adjustRightInd w:val="0"/>
        <w:jc w:val="both"/>
        <w:textAlignment w:val="baseline"/>
        <w:rPr>
          <w:rFonts w:ascii="Arial" w:hAnsi="Arial" w:eastAsia="等线" w:cs="Arial"/>
          <w:lang w:eastAsia="zh-CN"/>
        </w:rPr>
      </w:pPr>
      <w:r>
        <w:rPr>
          <w:rFonts w:ascii="Arial" w:hAnsi="Arial" w:eastAsia="等线" w:cs="Arial"/>
          <w:lang w:eastAsia="zh-CN"/>
        </w:rPr>
        <w:t xml:space="preserve">The following </w:t>
      </w:r>
      <w:r>
        <w:rPr>
          <w:rFonts w:hint="eastAsia" w:ascii="Arial" w:hAnsi="Arial" w:eastAsia="等线" w:cs="Arial"/>
          <w:lang w:eastAsia="zh-CN"/>
        </w:rPr>
        <w:t xml:space="preserve">observaitons and </w:t>
      </w:r>
      <w:r>
        <w:rPr>
          <w:rFonts w:ascii="Arial" w:hAnsi="Arial" w:eastAsia="等线" w:cs="Arial"/>
          <w:lang w:eastAsia="zh-CN"/>
        </w:rPr>
        <w:t>proprosals are presented:</w:t>
      </w:r>
    </w:p>
    <w:p w14:paraId="07B2ED01">
      <w:pPr>
        <w:pStyle w:val="120"/>
        <w:numPr>
          <w:ilvl w:val="0"/>
          <w:numId w:val="0"/>
        </w:numPr>
        <w:rPr>
          <w:rFonts w:eastAsiaTheme="minorEastAsia"/>
          <w:lang w:val="en-US"/>
        </w:rPr>
      </w:pPr>
      <w:r>
        <w:rPr>
          <w:rFonts w:hint="eastAsia" w:eastAsiaTheme="minorEastAsia"/>
          <w:lang w:val="en-US"/>
        </w:rPr>
        <w:t>Observation 1: T</w:t>
      </w:r>
      <w:r>
        <w:rPr>
          <w:rFonts w:eastAsiaTheme="minorEastAsia"/>
          <w:lang w:val="en-US"/>
        </w:rPr>
        <w:t>he existing TSCAI mechanism is sufficient to provide the periodicity information to RAN if the periodicity change is slow. If the dynamic changes of the periodicity are fast, updating TSCAI via CP signaling could be inefficient or not fast enough to provide the latest periodicity information to RAN.</w:t>
      </w:r>
    </w:p>
    <w:p w14:paraId="1A45C693">
      <w:pPr>
        <w:pStyle w:val="120"/>
        <w:numPr>
          <w:ilvl w:val="0"/>
          <w:numId w:val="0"/>
        </w:numPr>
        <w:rPr>
          <w:lang w:val="en-US"/>
        </w:rPr>
      </w:pPr>
      <w:r>
        <w:rPr>
          <w:rFonts w:hint="eastAsia" w:eastAsiaTheme="minorEastAsia"/>
          <w:lang w:val="en-US"/>
        </w:rPr>
        <w:t xml:space="preserve">Proposal 1: </w:t>
      </w:r>
      <w:r>
        <w:rPr>
          <w:lang w:val="en-US"/>
        </w:rPr>
        <w:t xml:space="preserve">RAN3 would like SA2 to further clarify the use cases on the fast dynamic changes of the periodicity, </w:t>
      </w:r>
      <w:r>
        <w:rPr>
          <w:rFonts w:cs="Arial"/>
          <w:lang w:val="en-US"/>
        </w:rPr>
        <w:t>whether the periodicity still exists.</w:t>
      </w:r>
    </w:p>
    <w:p w14:paraId="01DFB6F8">
      <w:pPr>
        <w:pStyle w:val="120"/>
        <w:numPr>
          <w:ilvl w:val="0"/>
          <w:numId w:val="0"/>
        </w:numPr>
        <w:rPr>
          <w:rFonts w:eastAsiaTheme="minorEastAsia"/>
          <w:lang w:val="en-US"/>
        </w:rPr>
      </w:pPr>
      <w:r>
        <w:rPr>
          <w:rFonts w:hint="eastAsia" w:eastAsiaTheme="minorEastAsia"/>
          <w:lang w:val="en-US"/>
        </w:rPr>
        <w:t xml:space="preserve">Proposal 2: </w:t>
      </w:r>
      <w:r>
        <w:rPr>
          <w:rFonts w:eastAsiaTheme="minorEastAsia"/>
          <w:lang w:val="en-US"/>
        </w:rPr>
        <w:t>RAN3 thinks using in-band signaling in GTP-U for updating dynamic and fast periodicity change information is a practical approach to ensure timely and efficient updates.</w:t>
      </w:r>
    </w:p>
    <w:p w14:paraId="6781E7FA">
      <w:pPr>
        <w:pStyle w:val="120"/>
        <w:numPr>
          <w:ilvl w:val="0"/>
          <w:numId w:val="0"/>
        </w:numPr>
        <w:rPr>
          <w:lang w:val="en-US"/>
        </w:rPr>
      </w:pPr>
      <w:r>
        <w:rPr>
          <w:rFonts w:hint="eastAsia" w:eastAsiaTheme="minorEastAsia"/>
          <w:lang w:val="en-US"/>
        </w:rPr>
        <w:t xml:space="preserve">Proposal 3: </w:t>
      </w:r>
      <w:r>
        <w:rPr>
          <w:lang w:val="en-US"/>
        </w:rPr>
        <w:t>RAN3 thinks reporting data rate for GBR QoS flows via use plane by for example including it in GTP-U is feasible.</w:t>
      </w:r>
    </w:p>
    <w:p w14:paraId="506A6177">
      <w:pPr>
        <w:pStyle w:val="120"/>
        <w:numPr>
          <w:ilvl w:val="0"/>
          <w:numId w:val="0"/>
        </w:numPr>
        <w:ind w:left="1304" w:hanging="1304"/>
        <w:rPr>
          <w:rFonts w:cs="Arial"/>
          <w:b w:val="0"/>
          <w:bCs w:val="0"/>
          <w:lang w:val="en-US"/>
        </w:rPr>
      </w:pPr>
    </w:p>
    <w:p w14:paraId="6645ACEF">
      <w:pPr>
        <w:pStyle w:val="2"/>
        <w:numPr>
          <w:ilvl w:val="0"/>
          <w:numId w:val="4"/>
        </w:numPr>
        <w:tabs>
          <w:tab w:val="left" w:pos="1304"/>
        </w:tabs>
        <w:spacing w:before="0" w:after="120" w:line="240" w:lineRule="auto"/>
        <w:ind w:left="567" w:hanging="567"/>
        <w:rPr>
          <w:rFonts w:cs="Arial"/>
        </w:rPr>
      </w:pPr>
      <w:r>
        <w:rPr>
          <w:rFonts w:cs="Arial"/>
        </w:rPr>
        <w:t>Reference</w:t>
      </w:r>
    </w:p>
    <w:p w14:paraId="37163641">
      <w:pPr>
        <w:jc w:val="both"/>
      </w:pPr>
      <w:r>
        <w:t>[1] S2-2407351, LS on FS_XRM Ph2.</w:t>
      </w:r>
    </w:p>
    <w:p w14:paraId="6256AA74">
      <w:pPr>
        <w:jc w:val="both"/>
      </w:pPr>
      <w:r>
        <w:t>[2] R3-243958, Lenovo, Response LS on FS_XRM Ph2.</w:t>
      </w:r>
    </w:p>
    <w:p w14:paraId="218C609F">
      <w:pPr>
        <w:spacing w:after="160"/>
        <w:rPr>
          <w:rFonts w:ascii="Arial" w:hAnsi="Arial" w:cs="Arial"/>
          <w:lang w:eastAsia="zh-CN"/>
        </w:rPr>
      </w:pPr>
      <w:r>
        <w:rPr>
          <w:rFonts w:ascii="Arial" w:hAnsi="Arial" w:cs="Arial"/>
          <w:lang w:eastAsia="zh-CN"/>
        </w:rPr>
        <w:br w:type="page"/>
      </w:r>
    </w:p>
    <w:p w14:paraId="09352A82">
      <w:pPr>
        <w:keepNext/>
        <w:keepLines/>
        <w:pBdr>
          <w:top w:val="single" w:color="auto" w:sz="12" w:space="3"/>
        </w:pBdr>
        <w:spacing w:before="240"/>
        <w:ind w:left="1134" w:hanging="1134"/>
        <w:outlineLvl w:val="0"/>
        <w:rPr>
          <w:rFonts w:ascii="Arial" w:hAnsi="Arial" w:eastAsia="宋体" w:cs="Arial"/>
          <w:sz w:val="36"/>
          <w:lang w:val="en-US" w:eastAsia="zh-CN"/>
        </w:rPr>
      </w:pPr>
      <w:r>
        <w:rPr>
          <w:rFonts w:hint="eastAsia" w:ascii="Arial" w:hAnsi="Arial" w:eastAsia="宋体" w:cs="Arial"/>
          <w:sz w:val="36"/>
          <w:lang w:val="en-US" w:eastAsia="zh-CN"/>
        </w:rPr>
        <w:t>Annex:  draft reply LS to SA2</w:t>
      </w:r>
    </w:p>
    <w:p w14:paraId="57AC708D">
      <w:pPr>
        <w:pStyle w:val="116"/>
        <w:outlineLvl w:val="0"/>
        <w:rPr>
          <w:rFonts w:eastAsia="宋体"/>
          <w:highlight w:val="yellow"/>
          <w:lang w:val="en-US" w:eastAsia="zh-CN"/>
        </w:rPr>
      </w:pPr>
      <w:r>
        <w:t>3GPP TSG-</w:t>
      </w:r>
      <w:r>
        <w:rPr>
          <w:szCs w:val="24"/>
        </w:rPr>
        <w:t>RAN WG3 Meeting #</w:t>
      </w:r>
      <w:r>
        <w:rPr>
          <w:rFonts w:hint="eastAsia" w:eastAsia="宋体"/>
          <w:szCs w:val="24"/>
          <w:lang w:val="en-US" w:eastAsia="zh-CN"/>
        </w:rPr>
        <w:t>125</w:t>
      </w:r>
      <w:r>
        <w:tab/>
      </w:r>
      <w:r>
        <w:rPr>
          <w:rFonts w:hint="eastAsia"/>
        </w:rPr>
        <w:t>R3-24xxxx</w:t>
      </w:r>
    </w:p>
    <w:p w14:paraId="0D66BB53">
      <w:pPr>
        <w:pStyle w:val="116"/>
        <w:outlineLvl w:val="0"/>
        <w:rPr>
          <w:lang w:eastAsia="ja-JP"/>
        </w:rPr>
      </w:pPr>
      <w:r>
        <w:rPr>
          <w:rFonts w:hint="eastAsia" w:eastAsia="宋体"/>
          <w:lang w:val="en-US" w:eastAsia="zh-CN"/>
        </w:rPr>
        <w:t>Maastricht, Netherland, 19 - 23 Aug 2024</w:t>
      </w:r>
    </w:p>
    <w:p w14:paraId="5EFB2C58">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hint="eastAsia" w:ascii="Arial" w:hAnsi="Arial" w:cs="Arial"/>
          <w:b/>
          <w:sz w:val="22"/>
          <w:szCs w:val="22"/>
        </w:rPr>
        <w:t>[</w:t>
      </w:r>
      <w:r>
        <w:rPr>
          <w:rFonts w:ascii="Arial" w:hAnsi="Arial" w:cs="Arial"/>
          <w:b/>
          <w:sz w:val="22"/>
          <w:szCs w:val="22"/>
        </w:rPr>
        <w:t>Draft</w:t>
      </w:r>
      <w:r>
        <w:rPr>
          <w:rFonts w:hint="eastAsia" w:ascii="Arial" w:hAnsi="Arial" w:cs="Arial"/>
          <w:b/>
          <w:sz w:val="22"/>
          <w:szCs w:val="22"/>
        </w:rPr>
        <w:t>]</w:t>
      </w:r>
      <w:r>
        <w:rPr>
          <w:rFonts w:ascii="Arial" w:hAnsi="Arial" w:cs="Arial"/>
          <w:b/>
          <w:sz w:val="22"/>
          <w:szCs w:val="22"/>
        </w:rPr>
        <w:t xml:space="preserve"> Response LS </w:t>
      </w:r>
      <w:r>
        <w:rPr>
          <w:rFonts w:hint="eastAsia" w:ascii="Arial" w:hAnsi="Arial" w:cs="Arial"/>
          <w:b/>
          <w:sz w:val="22"/>
          <w:szCs w:val="22"/>
        </w:rPr>
        <w:t>to SA2 on FS_XRM Ph2</w:t>
      </w:r>
    </w:p>
    <w:p w14:paraId="531355BF">
      <w:pPr>
        <w:spacing w:after="60"/>
        <w:ind w:left="1985" w:hanging="1985"/>
        <w:rPr>
          <w:rFonts w:ascii="Arial" w:hAnsi="Arial" w:cs="Arial"/>
          <w:b/>
          <w:sz w:val="22"/>
          <w:szCs w:val="22"/>
        </w:rPr>
      </w:pPr>
      <w:bookmarkStart w:id="4" w:name="OLE_LINK57"/>
      <w:bookmarkStart w:id="5" w:name="OLE_LINK58"/>
      <w:r>
        <w:rPr>
          <w:rFonts w:ascii="Arial" w:hAnsi="Arial" w:cs="Arial"/>
          <w:b/>
          <w:sz w:val="22"/>
          <w:szCs w:val="22"/>
        </w:rPr>
        <w:t>Response to:</w:t>
      </w:r>
      <w:r>
        <w:rPr>
          <w:rFonts w:ascii="Arial" w:hAnsi="Arial" w:cs="Arial"/>
          <w:b/>
          <w:sz w:val="22"/>
          <w:szCs w:val="22"/>
        </w:rPr>
        <w:tab/>
      </w:r>
      <w:bookmarkStart w:id="6" w:name="OLE_LINK13"/>
      <w:r>
        <w:rPr>
          <w:rFonts w:hint="eastAsia" w:ascii="Arial" w:hAnsi="Arial" w:cs="Arial"/>
          <w:b/>
          <w:sz w:val="22"/>
          <w:szCs w:val="22"/>
        </w:rPr>
        <w:t>R3-244020</w:t>
      </w:r>
      <w:bookmarkEnd w:id="6"/>
      <w:r>
        <w:rPr>
          <w:rFonts w:ascii="Arial" w:hAnsi="Arial" w:cs="Arial"/>
          <w:b/>
          <w:sz w:val="22"/>
          <w:szCs w:val="22"/>
        </w:rPr>
        <w:t>/</w:t>
      </w:r>
      <w:r>
        <w:rPr>
          <w:rFonts w:hint="eastAsia" w:ascii="Arial" w:hAnsi="Arial" w:cs="Arial"/>
          <w:b/>
          <w:sz w:val="22"/>
          <w:szCs w:val="22"/>
        </w:rPr>
        <w:t>S2-2407351</w:t>
      </w:r>
    </w:p>
    <w:bookmarkEnd w:id="4"/>
    <w:bookmarkEnd w:id="5"/>
    <w:p w14:paraId="60DC2DE4">
      <w:pPr>
        <w:spacing w:after="60"/>
        <w:ind w:left="1985" w:hanging="1985"/>
        <w:rPr>
          <w:rFonts w:ascii="Arial" w:hAnsi="Arial" w:cs="Arial"/>
          <w:b/>
          <w:sz w:val="22"/>
          <w:szCs w:val="22"/>
        </w:rPr>
      </w:pPr>
      <w:bookmarkStart w:id="7" w:name="OLE_LINK61"/>
      <w:bookmarkStart w:id="8" w:name="OLE_LINK59"/>
      <w:bookmarkStart w:id="9" w:name="OLE_LINK60"/>
      <w:r>
        <w:rPr>
          <w:rFonts w:ascii="Arial" w:hAnsi="Arial" w:cs="Arial"/>
          <w:b/>
          <w:sz w:val="22"/>
          <w:szCs w:val="22"/>
        </w:rPr>
        <w:t>Release:</w:t>
      </w:r>
      <w:r>
        <w:rPr>
          <w:rFonts w:ascii="Arial" w:hAnsi="Arial" w:cs="Arial"/>
          <w:b/>
          <w:sz w:val="22"/>
          <w:szCs w:val="22"/>
        </w:rPr>
        <w:tab/>
      </w:r>
      <w:r>
        <w:rPr>
          <w:rFonts w:ascii="Arial" w:hAnsi="Arial" w:cs="Arial"/>
          <w:b/>
          <w:sz w:val="22"/>
          <w:szCs w:val="22"/>
        </w:rPr>
        <w:t>Release 19</w:t>
      </w:r>
    </w:p>
    <w:bookmarkEnd w:id="7"/>
    <w:bookmarkEnd w:id="8"/>
    <w:bookmarkEnd w:id="9"/>
    <w:p w14:paraId="79D9611C">
      <w:pPr>
        <w:spacing w:after="60"/>
        <w:ind w:left="1985" w:hanging="1985"/>
        <w:rPr>
          <w:rFonts w:ascii="Arial" w:hAnsi="Arial" w:cs="Arial"/>
          <w:b/>
          <w:sz w:val="22"/>
          <w:szCs w:val="22"/>
        </w:rPr>
      </w:pPr>
      <w:r>
        <w:rPr>
          <w:rFonts w:ascii="Arial" w:hAnsi="Arial" w:cs="Arial"/>
          <w:b/>
          <w:sz w:val="22"/>
          <w:szCs w:val="22"/>
        </w:rPr>
        <w:t>Work Item:</w:t>
      </w:r>
      <w:r>
        <w:rPr>
          <w:rFonts w:ascii="Arial" w:hAnsi="Arial" w:cs="Arial"/>
          <w:b/>
          <w:sz w:val="22"/>
          <w:szCs w:val="22"/>
        </w:rPr>
        <w:tab/>
      </w:r>
      <w:r>
        <w:rPr>
          <w:rFonts w:ascii="Arial" w:hAnsi="Arial" w:cs="Arial"/>
          <w:b/>
          <w:sz w:val="22"/>
          <w:szCs w:val="22"/>
        </w:rPr>
        <w:t>FS_XRM Ph2</w:t>
      </w:r>
    </w:p>
    <w:p w14:paraId="236F74D9">
      <w:pPr>
        <w:spacing w:after="60"/>
        <w:ind w:left="1985" w:hanging="1985"/>
        <w:rPr>
          <w:rFonts w:ascii="Arial" w:hAnsi="Arial" w:cs="Arial"/>
          <w:b/>
          <w:sz w:val="22"/>
          <w:szCs w:val="22"/>
        </w:rPr>
      </w:pPr>
    </w:p>
    <w:p w14:paraId="05E25E1C">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Pr>
          <w:rFonts w:ascii="Arial" w:hAnsi="Arial" w:cs="Arial"/>
          <w:b/>
          <w:sz w:val="22"/>
          <w:szCs w:val="22"/>
        </w:rPr>
        <w:t>CMCC [</w:t>
      </w:r>
      <w:r>
        <w:rPr>
          <w:rFonts w:hint="eastAsia" w:ascii="Arial" w:hAnsi="Arial" w:cs="Arial"/>
          <w:b/>
          <w:sz w:val="22"/>
          <w:szCs w:val="22"/>
        </w:rPr>
        <w:t>to be</w:t>
      </w:r>
      <w:r>
        <w:rPr>
          <w:rFonts w:ascii="Arial" w:hAnsi="Arial" w:cs="Arial"/>
          <w:b/>
          <w:sz w:val="22"/>
          <w:szCs w:val="22"/>
        </w:rPr>
        <w:t xml:space="preserve"> </w:t>
      </w:r>
      <w:r>
        <w:rPr>
          <w:rFonts w:hint="eastAsia" w:ascii="Arial" w:hAnsi="Arial" w:cs="Arial"/>
          <w:b/>
          <w:sz w:val="22"/>
          <w:szCs w:val="22"/>
        </w:rPr>
        <w:t>RAN3</w:t>
      </w:r>
      <w:r>
        <w:rPr>
          <w:rFonts w:ascii="Arial" w:hAnsi="Arial" w:cs="Arial"/>
          <w:b/>
          <w:sz w:val="22"/>
          <w:szCs w:val="22"/>
        </w:rPr>
        <w:t>]</w:t>
      </w:r>
    </w:p>
    <w:p w14:paraId="58411144">
      <w:pPr>
        <w:spacing w:after="60"/>
        <w:ind w:left="1985" w:hanging="1985"/>
        <w:rPr>
          <w:rFonts w:ascii="Arial" w:hAnsi="Arial" w:cs="Arial"/>
          <w:b/>
          <w:sz w:val="22"/>
          <w:szCs w:val="22"/>
        </w:rPr>
      </w:pPr>
      <w:r>
        <w:rPr>
          <w:rFonts w:ascii="Arial" w:hAnsi="Arial" w:cs="Arial"/>
          <w:b/>
          <w:sz w:val="22"/>
          <w:szCs w:val="22"/>
        </w:rPr>
        <w:t>To:</w:t>
      </w:r>
      <w:r>
        <w:rPr>
          <w:rFonts w:ascii="Arial" w:hAnsi="Arial" w:cs="Arial"/>
          <w:b/>
          <w:sz w:val="22"/>
          <w:szCs w:val="22"/>
        </w:rPr>
        <w:tab/>
      </w:r>
      <w:r>
        <w:rPr>
          <w:rFonts w:hint="eastAsia" w:ascii="Arial" w:hAnsi="Arial" w:cs="Arial"/>
          <w:b/>
          <w:sz w:val="22"/>
          <w:szCs w:val="22"/>
        </w:rPr>
        <w:t>SA2</w:t>
      </w:r>
    </w:p>
    <w:p w14:paraId="53404747">
      <w:pPr>
        <w:spacing w:after="60"/>
        <w:ind w:left="1985" w:hanging="1985"/>
        <w:rPr>
          <w:rFonts w:ascii="Arial" w:hAnsi="Arial" w:cs="Arial"/>
          <w:b/>
          <w:sz w:val="22"/>
          <w:szCs w:val="22"/>
        </w:rPr>
      </w:pPr>
      <w:bookmarkStart w:id="10" w:name="OLE_LINK46"/>
      <w:bookmarkStart w:id="11" w:name="OLE_LINK45"/>
      <w:r>
        <w:rPr>
          <w:rFonts w:ascii="Arial" w:hAnsi="Arial" w:cs="Arial"/>
          <w:b/>
          <w:sz w:val="22"/>
          <w:szCs w:val="22"/>
        </w:rPr>
        <w:t>Cc:</w:t>
      </w:r>
      <w:r>
        <w:rPr>
          <w:rFonts w:ascii="Arial" w:hAnsi="Arial" w:cs="Arial"/>
          <w:b/>
          <w:sz w:val="22"/>
          <w:szCs w:val="22"/>
        </w:rPr>
        <w:tab/>
      </w:r>
      <w:r>
        <w:rPr>
          <w:rFonts w:hint="eastAsia" w:ascii="Arial" w:hAnsi="Arial" w:cs="Arial"/>
          <w:b/>
          <w:sz w:val="22"/>
          <w:szCs w:val="22"/>
        </w:rPr>
        <w:t>RAN2</w:t>
      </w:r>
      <w:r>
        <w:rPr>
          <w:rFonts w:ascii="Arial" w:hAnsi="Arial" w:cs="Arial"/>
          <w:b/>
          <w:sz w:val="22"/>
          <w:szCs w:val="22"/>
        </w:rPr>
        <w:t>, SA4</w:t>
      </w:r>
    </w:p>
    <w:bookmarkEnd w:id="10"/>
    <w:bookmarkEnd w:id="11"/>
    <w:p w14:paraId="63FB4602">
      <w:pPr>
        <w:spacing w:after="60"/>
        <w:ind w:left="1985" w:hanging="1985"/>
        <w:rPr>
          <w:rFonts w:ascii="Arial" w:hAnsi="Arial" w:cs="Arial"/>
          <w:b/>
          <w:sz w:val="22"/>
          <w:szCs w:val="22"/>
        </w:rPr>
      </w:pPr>
    </w:p>
    <w:p w14:paraId="39B9A50D">
      <w:pPr>
        <w:spacing w:after="60"/>
        <w:ind w:left="1985" w:hanging="1985"/>
        <w:rPr>
          <w:rFonts w:ascii="Arial" w:hAnsi="Arial" w:cs="Arial"/>
          <w:b/>
          <w:sz w:val="22"/>
          <w:szCs w:val="22"/>
        </w:rPr>
      </w:pPr>
      <w:r>
        <w:rPr>
          <w:rFonts w:ascii="Arial" w:hAnsi="Arial" w:cs="Arial"/>
          <w:b/>
          <w:sz w:val="22"/>
          <w:szCs w:val="22"/>
        </w:rPr>
        <w:t>Contact person:</w:t>
      </w:r>
      <w:r>
        <w:rPr>
          <w:rFonts w:ascii="Arial" w:hAnsi="Arial" w:cs="Arial"/>
          <w:b/>
          <w:sz w:val="22"/>
          <w:szCs w:val="22"/>
        </w:rPr>
        <w:tab/>
      </w:r>
      <w:r>
        <w:rPr>
          <w:rFonts w:ascii="Arial" w:hAnsi="Arial" w:cs="Arial"/>
          <w:b/>
          <w:sz w:val="22"/>
          <w:szCs w:val="22"/>
        </w:rPr>
        <w:t>Lijun Dong</w:t>
      </w:r>
    </w:p>
    <w:p w14:paraId="21FDB3E6">
      <w:pPr>
        <w:spacing w:after="60"/>
        <w:ind w:left="1985" w:hanging="1985"/>
        <w:rPr>
          <w:rFonts w:ascii="Arial" w:hAnsi="Arial" w:cs="Arial"/>
          <w:b/>
          <w:sz w:val="22"/>
          <w:szCs w:val="22"/>
        </w:rPr>
      </w:pPr>
      <w:r>
        <w:rPr>
          <w:rFonts w:ascii="Arial" w:hAnsi="Arial" w:cs="Arial"/>
          <w:b/>
          <w:sz w:val="22"/>
          <w:szCs w:val="22"/>
        </w:rPr>
        <w:tab/>
      </w:r>
      <w:r>
        <w:rPr>
          <w:rFonts w:ascii="Arial" w:hAnsi="Arial" w:cs="Arial"/>
          <w:b/>
          <w:sz w:val="22"/>
          <w:szCs w:val="22"/>
        </w:rPr>
        <w:t>lijundong@chinamobile.com</w:t>
      </w:r>
    </w:p>
    <w:p w14:paraId="1CEB3FAB">
      <w:pPr>
        <w:spacing w:after="60"/>
        <w:ind w:left="1985" w:hanging="1985"/>
        <w:rPr>
          <w:rFonts w:ascii="Arial" w:hAnsi="Arial" w:cs="Arial"/>
          <w:b/>
          <w:bCs/>
          <w:sz w:val="22"/>
          <w:szCs w:val="22"/>
        </w:rPr>
      </w:pPr>
      <w:r>
        <w:rPr>
          <w:rFonts w:ascii="Arial" w:hAnsi="Arial" w:cs="Arial"/>
          <w:b/>
          <w:bCs/>
          <w:sz w:val="22"/>
          <w:szCs w:val="22"/>
        </w:rPr>
        <w:tab/>
      </w:r>
    </w:p>
    <w:p w14:paraId="07F6570B">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46"/>
          <w:rFonts w:ascii="Arial" w:hAnsi="Arial" w:cs="Arial"/>
          <w:b/>
          <w:sz w:val="22"/>
          <w:szCs w:val="22"/>
        </w:rPr>
        <w:t>mailto:3GPPLiaison@etsi.org</w:t>
      </w:r>
      <w:r>
        <w:rPr>
          <w:rStyle w:val="46"/>
          <w:rFonts w:ascii="Arial" w:hAnsi="Arial" w:cs="Arial"/>
          <w:b/>
          <w:sz w:val="22"/>
          <w:szCs w:val="22"/>
        </w:rPr>
        <w:fldChar w:fldCharType="end"/>
      </w:r>
    </w:p>
    <w:p w14:paraId="10760542">
      <w:pPr>
        <w:spacing w:after="60"/>
        <w:ind w:left="1985" w:hanging="1985"/>
        <w:rPr>
          <w:rFonts w:ascii="Arial" w:hAnsi="Arial" w:cs="Arial"/>
          <w:b/>
          <w:sz w:val="22"/>
          <w:szCs w:val="22"/>
        </w:rPr>
      </w:pPr>
    </w:p>
    <w:p w14:paraId="1AB47AAA">
      <w:pPr>
        <w:spacing w:after="60"/>
        <w:ind w:left="1985" w:hanging="1985"/>
        <w:rPr>
          <w:rFonts w:ascii="Arial" w:hAnsi="Arial" w:cs="Arial"/>
          <w:bCs/>
        </w:rPr>
      </w:pPr>
      <w:r>
        <w:rPr>
          <w:rFonts w:ascii="Arial" w:hAnsi="Arial" w:cs="Arial"/>
          <w:b/>
          <w:sz w:val="22"/>
          <w:szCs w:val="22"/>
        </w:rPr>
        <w:t>Attachments:</w:t>
      </w:r>
      <w:r>
        <w:rPr>
          <w:rFonts w:ascii="Arial" w:hAnsi="Arial" w:cs="Arial"/>
          <w:bCs/>
        </w:rPr>
        <w:tab/>
      </w:r>
    </w:p>
    <w:p w14:paraId="0B828025">
      <w:pPr>
        <w:pBdr>
          <w:bottom w:val="single" w:color="auto" w:sz="4" w:space="1"/>
        </w:pBdr>
        <w:rPr>
          <w:rFonts w:ascii="Arial" w:hAnsi="Arial" w:cs="Arial"/>
        </w:rPr>
      </w:pPr>
    </w:p>
    <w:p w14:paraId="287AD1A7">
      <w:pPr>
        <w:numPr>
          <w:ilvl w:val="0"/>
          <w:numId w:val="6"/>
        </w:numPr>
        <w:spacing w:after="120" w:line="240" w:lineRule="auto"/>
        <w:rPr>
          <w:rFonts w:ascii="Arial" w:hAnsi="Arial" w:cs="Arial"/>
          <w:b/>
        </w:rPr>
      </w:pPr>
      <w:r>
        <w:rPr>
          <w:rFonts w:ascii="Arial" w:hAnsi="Arial" w:cs="Arial"/>
          <w:b/>
        </w:rPr>
        <w:t>Overall Description:</w:t>
      </w:r>
    </w:p>
    <w:p w14:paraId="71BE0163">
      <w:pPr>
        <w:snapToGrid w:val="0"/>
        <w:spacing w:after="120"/>
        <w:jc w:val="both"/>
        <w:rPr>
          <w:rFonts w:ascii="Arial" w:hAnsi="Arial" w:eastAsia="等线" w:cs="Arial"/>
          <w:lang w:val="en-US" w:eastAsia="zh-CN"/>
        </w:rPr>
      </w:pPr>
      <w:r>
        <w:rPr>
          <w:rFonts w:ascii="Arial" w:hAnsi="Arial" w:eastAsia="等线" w:cs="Arial"/>
          <w:lang w:val="en-US" w:eastAsia="zh-CN"/>
        </w:rPr>
        <w:t>RAN3 would like to thank SA2 for the LS on FS_XRM Ph2</w:t>
      </w:r>
      <w:r>
        <w:rPr>
          <w:rFonts w:hint="eastAsia" w:ascii="Arial" w:hAnsi="Arial" w:eastAsia="等线" w:cs="Arial"/>
          <w:lang w:val="en-US" w:eastAsia="zh-CN"/>
        </w:rPr>
        <w:t>(R3-244020/S2-2407351)</w:t>
      </w:r>
      <w:r>
        <w:rPr>
          <w:rFonts w:ascii="Arial" w:hAnsi="Arial" w:eastAsia="等线" w:cs="Arial"/>
          <w:lang w:val="en-US" w:eastAsia="zh-CN"/>
        </w:rPr>
        <w:t xml:space="preserve"> and kindly ask SA2 to take the following response into consideration. </w:t>
      </w:r>
    </w:p>
    <w:p w14:paraId="5583AD12">
      <w:pPr>
        <w:snapToGrid w:val="0"/>
        <w:spacing w:after="120"/>
        <w:jc w:val="both"/>
        <w:rPr>
          <w:rFonts w:ascii="Arial" w:hAnsi="Arial" w:eastAsia="等线" w:cs="Arial"/>
          <w:lang w:val="en-US" w:eastAsia="zh-CN"/>
        </w:rPr>
      </w:pPr>
    </w:p>
    <w:p w14:paraId="214832B8">
      <w:pPr>
        <w:pStyle w:val="77"/>
        <w:numPr>
          <w:ilvl w:val="0"/>
          <w:numId w:val="5"/>
        </w:numPr>
        <w:spacing w:line="240" w:lineRule="auto"/>
        <w:rPr>
          <w:rFonts w:ascii="Arial" w:hAnsi="Arial" w:eastAsia="等线" w:cs="Arial"/>
          <w:i/>
          <w:iCs/>
          <w:lang w:eastAsia="zh-CN"/>
        </w:rPr>
      </w:pPr>
      <w:r>
        <w:rPr>
          <w:rFonts w:ascii="Arial" w:hAnsi="Arial" w:cs="Arial"/>
          <w:b/>
          <w:i/>
          <w:iCs/>
        </w:rPr>
        <w:t>Question</w:t>
      </w:r>
      <w:r>
        <w:rPr>
          <w:rFonts w:ascii="Arial" w:hAnsi="Arial" w:cs="Arial"/>
          <w:b/>
          <w:i/>
          <w:iCs/>
          <w:lang w:eastAsia="zh-CN"/>
        </w:rPr>
        <w:t xml:space="preserve">1 </w:t>
      </w:r>
      <w:r>
        <w:rPr>
          <w:rFonts w:ascii="Arial" w:hAnsi="Arial" w:cs="Arial"/>
          <w:b/>
          <w:i/>
          <w:iCs/>
        </w:rPr>
        <w:t>[</w:t>
      </w:r>
      <w:r>
        <w:rPr>
          <w:rFonts w:ascii="Arial" w:hAnsi="Arial" w:eastAsia="等线" w:cs="Arial"/>
          <w:b/>
          <w:i/>
          <w:iCs/>
          <w:lang w:eastAsia="zh-CN"/>
        </w:rPr>
        <w:t>for</w:t>
      </w:r>
      <w:r>
        <w:rPr>
          <w:rFonts w:ascii="Arial" w:hAnsi="Arial" w:cs="Arial"/>
          <w:b/>
          <w:i/>
          <w:iCs/>
        </w:rPr>
        <w:t xml:space="preserve"> SA4, RAN2 and RAN3]:</w:t>
      </w:r>
    </w:p>
    <w:p w14:paraId="69CE8B24">
      <w:pPr>
        <w:pStyle w:val="77"/>
        <w:numPr>
          <w:ilvl w:val="1"/>
          <w:numId w:val="5"/>
        </w:numPr>
        <w:spacing w:line="240" w:lineRule="auto"/>
        <w:rPr>
          <w:rFonts w:ascii="Arial" w:hAnsi="Arial" w:eastAsia="等线" w:cs="Arial"/>
          <w:i/>
          <w:iCs/>
          <w:lang w:eastAsia="zh-CN"/>
        </w:rPr>
      </w:pPr>
      <w:r>
        <w:rPr>
          <w:rFonts w:ascii="Arial" w:hAnsi="Arial" w:eastAsia="等线" w:cs="Arial"/>
          <w:i/>
          <w:iCs/>
          <w:lang w:eastAsia="zh-CN"/>
        </w:rPr>
        <w:t xml:space="preserve"> SA2 discusses indicating periodicity via in-band signaling (i.e. in GTP-U) for dynamic changes of the periodicity and kindly asks RAN2 and RAN3 to feedback on that approach.</w:t>
      </w:r>
    </w:p>
    <w:p w14:paraId="33BCDD2A">
      <w:pPr>
        <w:pStyle w:val="77"/>
        <w:numPr>
          <w:ilvl w:val="1"/>
          <w:numId w:val="5"/>
        </w:numPr>
        <w:spacing w:line="240" w:lineRule="auto"/>
        <w:rPr>
          <w:rFonts w:ascii="Arial" w:hAnsi="Arial" w:eastAsia="等线" w:cs="Arial"/>
          <w:i/>
          <w:iCs/>
          <w:lang w:eastAsia="zh-CN"/>
        </w:rPr>
      </w:pPr>
      <w:r>
        <w:rPr>
          <w:rFonts w:ascii="Arial" w:hAnsi="Arial" w:eastAsia="等线" w:cs="Arial"/>
          <w:i/>
          <w:iCs/>
          <w:lang w:eastAsia="zh-CN"/>
        </w:rPr>
        <w:t>To SA4: is it possible for application server to provide the periodicity to the PSA UPF in RTP header extension?</w:t>
      </w:r>
    </w:p>
    <w:p w14:paraId="1CCC6856">
      <w:pPr>
        <w:pStyle w:val="120"/>
        <w:numPr>
          <w:ilvl w:val="0"/>
          <w:numId w:val="0"/>
        </w:numPr>
        <w:rPr>
          <w:rFonts w:eastAsiaTheme="minorEastAsia"/>
          <w:lang w:val="en-US"/>
        </w:rPr>
      </w:pPr>
      <w:r>
        <w:rPr>
          <w:rFonts w:eastAsia="等线" w:cs="Arial"/>
        </w:rPr>
        <w:t>[RAN3 answer to Question1]:</w:t>
      </w:r>
      <w:r>
        <w:rPr>
          <w:lang w:val="en-US"/>
        </w:rPr>
        <w:t xml:space="preserve"> </w:t>
      </w:r>
      <w:r>
        <w:rPr>
          <w:b w:val="0"/>
          <w:bCs w:val="0"/>
          <w:lang w:val="en-US"/>
        </w:rPr>
        <w:t xml:space="preserve">From RAN3’s perspective, </w:t>
      </w:r>
      <w:r>
        <w:rPr>
          <w:rFonts w:eastAsiaTheme="minorEastAsia"/>
          <w:b w:val="0"/>
          <w:bCs w:val="0"/>
          <w:lang w:val="en-US"/>
        </w:rPr>
        <w:t xml:space="preserve">the existing TSCAI mechanism is sufficient to provide the periodicity information to RAN if the periodicity change is slow. If the dynamic changes of the periodicity are fast, updating TSCAI via CP signaling could be inefficient or not fast enough to provide the latest periodicity information to RAN. </w:t>
      </w:r>
      <w:r>
        <w:rPr>
          <w:b w:val="0"/>
          <w:bCs w:val="0"/>
          <w:lang w:val="en-US"/>
        </w:rPr>
        <w:t xml:space="preserve">RAN3 would like SA2 to further clarify the use cases on the fast dynamic changes of the periodicity, </w:t>
      </w:r>
      <w:r>
        <w:rPr>
          <w:rFonts w:cs="Arial"/>
          <w:b w:val="0"/>
          <w:bCs w:val="0"/>
          <w:lang w:val="en-US"/>
        </w:rPr>
        <w:t>whether the periodicity still exists.</w:t>
      </w:r>
      <w:r>
        <w:rPr>
          <w:rFonts w:eastAsiaTheme="minorEastAsia"/>
          <w:b w:val="0"/>
          <w:bCs w:val="0"/>
          <w:lang w:val="en-US"/>
        </w:rPr>
        <w:t xml:space="preserve"> RAN3 thinks using in-band signaling in GTP-U for updating dynamic and fast periodicity change information is a practical approach to ensure timely and efficient updates.</w:t>
      </w:r>
    </w:p>
    <w:p w14:paraId="584DEB26">
      <w:pPr>
        <w:snapToGrid w:val="0"/>
        <w:spacing w:after="120"/>
        <w:jc w:val="both"/>
        <w:rPr>
          <w:rFonts w:ascii="Arial" w:hAnsi="Arial" w:eastAsia="等线" w:cs="Arial"/>
          <w:lang w:val="en-US" w:eastAsia="zh-CN"/>
        </w:rPr>
      </w:pPr>
    </w:p>
    <w:p w14:paraId="4042EAA5">
      <w:pPr>
        <w:pStyle w:val="77"/>
        <w:numPr>
          <w:ilvl w:val="0"/>
          <w:numId w:val="5"/>
        </w:numPr>
        <w:spacing w:line="240" w:lineRule="auto"/>
        <w:rPr>
          <w:rFonts w:ascii="Arial" w:hAnsi="Arial" w:cs="Arial"/>
          <w:i/>
          <w:iCs/>
        </w:rPr>
      </w:pPr>
      <w:r>
        <w:rPr>
          <w:rFonts w:ascii="Arial" w:hAnsi="Arial" w:cs="Arial"/>
          <w:b/>
          <w:i/>
          <w:iCs/>
        </w:rPr>
        <w:t>Question</w:t>
      </w:r>
      <w:r>
        <w:rPr>
          <w:rFonts w:ascii="Arial" w:hAnsi="Arial" w:cs="Arial"/>
          <w:b/>
          <w:i/>
          <w:iCs/>
          <w:lang w:eastAsia="zh-CN"/>
        </w:rPr>
        <w:t xml:space="preserve">3 </w:t>
      </w:r>
      <w:r>
        <w:rPr>
          <w:rFonts w:ascii="Arial" w:hAnsi="Arial" w:cs="Arial"/>
          <w:b/>
          <w:i/>
          <w:iCs/>
        </w:rPr>
        <w:t>[for RAN</w:t>
      </w:r>
      <w:r>
        <w:rPr>
          <w:rFonts w:ascii="Arial" w:hAnsi="Arial" w:cs="Arial"/>
          <w:b/>
          <w:i/>
          <w:iCs/>
          <w:lang w:eastAsia="zh-CN"/>
        </w:rPr>
        <w:t>3</w:t>
      </w:r>
      <w:r>
        <w:rPr>
          <w:rFonts w:ascii="Arial" w:hAnsi="Arial" w:cs="Arial"/>
          <w:b/>
          <w:i/>
          <w:iCs/>
        </w:rPr>
        <w:t xml:space="preserve">]: </w:t>
      </w:r>
      <w:r>
        <w:rPr>
          <w:rFonts w:ascii="Arial" w:hAnsi="Arial" w:cs="Arial"/>
          <w:i/>
          <w:iCs/>
        </w:rPr>
        <w:t>SA2 discusses to support available data rate exposure for GBR QoS Flow via user plane, and kindly asks RA</w:t>
      </w:r>
      <w:r>
        <w:rPr>
          <w:rFonts w:hint="eastAsia" w:ascii="Arial" w:hAnsi="Arial" w:cs="Arial"/>
          <w:i/>
          <w:iCs/>
        </w:rPr>
        <w:t>N3</w:t>
      </w:r>
      <w:r>
        <w:rPr>
          <w:rFonts w:ascii="Arial" w:hAnsi="Arial" w:cs="Arial"/>
          <w:i/>
          <w:iCs/>
        </w:rPr>
        <w:t xml:space="preserve"> </w:t>
      </w:r>
      <w:r>
        <w:rPr>
          <w:rFonts w:hint="eastAsia" w:ascii="Arial" w:hAnsi="Arial" w:cs="Arial"/>
          <w:i/>
          <w:iCs/>
        </w:rPr>
        <w:t>to provide feedback if any.</w:t>
      </w:r>
    </w:p>
    <w:p w14:paraId="3FC152B9">
      <w:pPr>
        <w:pStyle w:val="120"/>
        <w:numPr>
          <w:ilvl w:val="0"/>
          <w:numId w:val="0"/>
        </w:numPr>
        <w:rPr>
          <w:rFonts w:cs="Arial"/>
        </w:rPr>
      </w:pPr>
      <w:r>
        <w:rPr>
          <w:rFonts w:hint="eastAsia" w:eastAsia="等线" w:cs="Arial"/>
        </w:rPr>
        <w:t>[</w:t>
      </w:r>
      <w:r>
        <w:rPr>
          <w:rFonts w:eastAsia="等线" w:cs="Arial"/>
        </w:rPr>
        <w:t xml:space="preserve">RAN3 </w:t>
      </w:r>
      <w:r>
        <w:rPr>
          <w:rFonts w:hint="eastAsia" w:eastAsia="等线" w:cs="Arial"/>
        </w:rPr>
        <w:t>ans</w:t>
      </w:r>
      <w:r>
        <w:rPr>
          <w:rFonts w:eastAsia="等线" w:cs="Arial"/>
        </w:rPr>
        <w:t xml:space="preserve">wer to Question3]: </w:t>
      </w:r>
      <w:r>
        <w:rPr>
          <w:rFonts w:cs="Arial"/>
          <w:b w:val="0"/>
          <w:bCs w:val="0"/>
          <w:lang w:val="en-US"/>
        </w:rPr>
        <w:t xml:space="preserve">RAN3 has </w:t>
      </w:r>
      <w:r>
        <w:rPr>
          <w:rFonts w:hint="eastAsia" w:eastAsia="等线" w:cs="Arial"/>
          <w:b w:val="0"/>
          <w:bCs w:val="0"/>
          <w:lang w:val="en-US"/>
        </w:rPr>
        <w:t>replied to SA2 in R3-243958</w:t>
      </w:r>
      <w:r>
        <w:rPr>
          <w:rFonts w:eastAsia="等线" w:cs="Arial"/>
          <w:b w:val="0"/>
          <w:bCs w:val="0"/>
          <w:lang w:val="en-US"/>
        </w:rPr>
        <w:t xml:space="preserve"> that </w:t>
      </w:r>
      <w:r>
        <w:rPr>
          <w:rFonts w:cs="Arial"/>
          <w:b w:val="0"/>
          <w:bCs w:val="0"/>
          <w:lang w:val="en-US"/>
        </w:rPr>
        <w:t xml:space="preserve">it is feasible to estimate available data rate for GBR QoS flows, which is up to RAN implementation. </w:t>
      </w:r>
      <w:r>
        <w:rPr>
          <w:b w:val="0"/>
          <w:bCs w:val="0"/>
          <w:lang w:val="en-US"/>
        </w:rPr>
        <w:t>RAN3 thinks reporting data rate for GBR QoS flows via use plane by for example including it in GTP-U is feasible.</w:t>
      </w:r>
    </w:p>
    <w:sectPr>
      <w:headerReference r:id="rId5" w:type="default"/>
      <w:footnotePr>
        <w:numRestart w:val="eachSect"/>
      </w:footnotePr>
      <w:pgSz w:w="11907" w:h="16840"/>
      <w:pgMar w:top="1134" w:right="1134" w:bottom="1418" w:left="1134" w:header="680" w:footer="567" w:gutter="0"/>
      <w:cols w:space="720" w:num="1"/>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G Times (WN)">
    <w:altName w:val="宋体"/>
    <w:panose1 w:val="00000000000000000000"/>
    <w:charset w:val="00"/>
    <w:family w:val="auto"/>
    <w:pitch w:val="default"/>
    <w:sig w:usb0="00000000" w:usb1="00000000" w:usb2="00000000" w:usb3="00000000" w:csb0="0004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Arial Unicode MS">
    <w:altName w:val="Arial"/>
    <w:panose1 w:val="020B0604020202020204"/>
    <w:charset w:val="80"/>
    <w:family w:val="swiss"/>
    <w:pitch w:val="default"/>
    <w:sig w:usb0="00000000" w:usb1="00000000" w:usb2="0000003F" w:usb3="00000000" w:csb0="003F01F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B0659F">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15C0A2"/>
    <w:multiLevelType w:val="singleLevel"/>
    <w:tmpl w:val="B915C0A2"/>
    <w:lvl w:ilvl="0" w:tentative="0">
      <w:start w:val="1"/>
      <w:numFmt w:val="decimal"/>
      <w:lvlText w:val="%1"/>
      <w:lvlJc w:val="left"/>
    </w:lvl>
  </w:abstractNum>
  <w:abstractNum w:abstractNumId="1">
    <w:nsid w:val="1EBB2840"/>
    <w:multiLevelType w:val="multilevel"/>
    <w:tmpl w:val="1EBB2840"/>
    <w:lvl w:ilvl="0" w:tentative="0">
      <w:start w:val="1"/>
      <w:numFmt w:val="bullet"/>
      <w:lvlText w:val="-"/>
      <w:lvlJc w:val="left"/>
      <w:pPr>
        <w:ind w:left="360" w:hanging="360"/>
      </w:pPr>
      <w:rPr>
        <w:rFonts w:hint="default" w:ascii="Times New Roman" w:hAnsi="Times New Roman" w:eastAsia="等线"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43DA5426"/>
    <w:multiLevelType w:val="multilevel"/>
    <w:tmpl w:val="43DA542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101505E"/>
    <w:multiLevelType w:val="multilevel"/>
    <w:tmpl w:val="5101505E"/>
    <w:lvl w:ilvl="0" w:tentative="0">
      <w:start w:val="1"/>
      <w:numFmt w:val="decimal"/>
      <w:pStyle w:val="119"/>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70146DC0"/>
    <w:multiLevelType w:val="multilevel"/>
    <w:tmpl w:val="70146DC0"/>
    <w:lvl w:ilvl="0" w:tentative="0">
      <w:start w:val="1"/>
      <w:numFmt w:val="bullet"/>
      <w:pStyle w:val="126"/>
      <w:lvlText w:val=""/>
      <w:lvlJc w:val="left"/>
      <w:pPr>
        <w:tabs>
          <w:tab w:val="left" w:pos="1619"/>
        </w:tabs>
        <w:ind w:left="1619" w:hanging="360"/>
      </w:pPr>
      <w:rPr>
        <w:rFonts w:hint="default" w:ascii="Symbol" w:hAnsi="Symbol"/>
        <w:b/>
        <w:i w:val="0"/>
        <w:color w:val="auto"/>
        <w:sz w:val="22"/>
        <w:lang w:val="en-GB"/>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24475D4"/>
    <w:multiLevelType w:val="multilevel"/>
    <w:tmpl w:val="724475D4"/>
    <w:lvl w:ilvl="0" w:tentative="0">
      <w:start w:val="1"/>
      <w:numFmt w:val="decimal"/>
      <w:pStyle w:val="120"/>
      <w:lvlText w:val="Proposal %1"/>
      <w:lvlJc w:val="left"/>
      <w:pPr>
        <w:tabs>
          <w:tab w:val="left" w:pos="1304"/>
        </w:tabs>
        <w:ind w:left="1304" w:hanging="1304"/>
      </w:pPr>
      <w:rPr>
        <w:rFonts w:hint="default"/>
      </w:rPr>
    </w:lvl>
    <w:lvl w:ilvl="1" w:tentative="0">
      <w:start w:val="0"/>
      <w:numFmt w:val="bullet"/>
      <w:lvlText w:val="-"/>
      <w:lvlJc w:val="left"/>
      <w:pPr>
        <w:ind w:left="487" w:hanging="400"/>
      </w:pPr>
      <w:rPr>
        <w:rFonts w:hint="default" w:ascii="Cambria" w:hAnsi="Cambria" w:cs="Times New Roman" w:eastAsiaTheme="minorEastAsia"/>
      </w:rPr>
    </w:lvl>
    <w:lvl w:ilvl="2" w:tentative="0">
      <w:start w:val="1"/>
      <w:numFmt w:val="lowerRoman"/>
      <w:lvlText w:val="%3."/>
      <w:lvlJc w:val="right"/>
      <w:pPr>
        <w:tabs>
          <w:tab w:val="left" w:pos="1167"/>
        </w:tabs>
        <w:ind w:left="1167" w:hanging="180"/>
      </w:pPr>
    </w:lvl>
    <w:lvl w:ilvl="3" w:tentative="0">
      <w:start w:val="1"/>
      <w:numFmt w:val="decimal"/>
      <w:lvlText w:val="%4."/>
      <w:lvlJc w:val="left"/>
      <w:pPr>
        <w:tabs>
          <w:tab w:val="left" w:pos="1887"/>
        </w:tabs>
        <w:ind w:left="1887" w:hanging="360"/>
      </w:pPr>
    </w:lvl>
    <w:lvl w:ilvl="4" w:tentative="0">
      <w:start w:val="1"/>
      <w:numFmt w:val="lowerLetter"/>
      <w:lvlText w:val="%5."/>
      <w:lvlJc w:val="left"/>
      <w:pPr>
        <w:tabs>
          <w:tab w:val="left" w:pos="2607"/>
        </w:tabs>
        <w:ind w:left="2607" w:hanging="360"/>
      </w:pPr>
    </w:lvl>
    <w:lvl w:ilvl="5" w:tentative="0">
      <w:start w:val="1"/>
      <w:numFmt w:val="lowerRoman"/>
      <w:lvlText w:val="%6."/>
      <w:lvlJc w:val="right"/>
      <w:pPr>
        <w:tabs>
          <w:tab w:val="left" w:pos="3327"/>
        </w:tabs>
        <w:ind w:left="3327" w:hanging="180"/>
      </w:pPr>
    </w:lvl>
    <w:lvl w:ilvl="6" w:tentative="0">
      <w:start w:val="1"/>
      <w:numFmt w:val="decimal"/>
      <w:lvlText w:val="%7."/>
      <w:lvlJc w:val="left"/>
      <w:pPr>
        <w:tabs>
          <w:tab w:val="left" w:pos="4047"/>
        </w:tabs>
        <w:ind w:left="4047" w:hanging="360"/>
      </w:pPr>
    </w:lvl>
    <w:lvl w:ilvl="7" w:tentative="0">
      <w:start w:val="1"/>
      <w:numFmt w:val="lowerLetter"/>
      <w:lvlText w:val="%8."/>
      <w:lvlJc w:val="left"/>
      <w:pPr>
        <w:tabs>
          <w:tab w:val="left" w:pos="4767"/>
        </w:tabs>
        <w:ind w:left="4767" w:hanging="360"/>
      </w:pPr>
    </w:lvl>
    <w:lvl w:ilvl="8" w:tentative="0">
      <w:start w:val="1"/>
      <w:numFmt w:val="lowerRoman"/>
      <w:lvlText w:val="%9."/>
      <w:lvlJc w:val="right"/>
      <w:pPr>
        <w:tabs>
          <w:tab w:val="left" w:pos="5487"/>
        </w:tabs>
        <w:ind w:left="5487" w:hanging="180"/>
      </w:pPr>
    </w:lvl>
  </w:abstractNum>
  <w:num w:numId="1">
    <w:abstractNumId w:val="3"/>
  </w:num>
  <w:num w:numId="2">
    <w:abstractNumId w:val="5"/>
  </w:num>
  <w:num w:numId="3">
    <w:abstractNumId w:val="4"/>
  </w:num>
  <w:num w:numId="4">
    <w:abstractNumId w:val="0"/>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characterSpacingControl w:val="doNotCompress"/>
  <w:footnotePr>
    <w:numRestart w:val="eachSect"/>
    <w:footnote w:id="0"/>
    <w:footnote w:id="1"/>
  </w:footnotePr>
  <w:endnotePr>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E0ZGI3Yjg3MGY5ZWZhZDkzMzE3YTk5OWI1ZWQxMTkifQ=="/>
  </w:docVars>
  <w:rsids>
    <w:rsidRoot w:val="00EC4AC2"/>
    <w:rsid w:val="00000DF0"/>
    <w:rsid w:val="00001E8F"/>
    <w:rsid w:val="00002404"/>
    <w:rsid w:val="00014226"/>
    <w:rsid w:val="00020D4D"/>
    <w:rsid w:val="00022E4A"/>
    <w:rsid w:val="00024C18"/>
    <w:rsid w:val="000472E8"/>
    <w:rsid w:val="000502CB"/>
    <w:rsid w:val="00051FFB"/>
    <w:rsid w:val="00061D0F"/>
    <w:rsid w:val="00067DCD"/>
    <w:rsid w:val="0007489F"/>
    <w:rsid w:val="00083AB3"/>
    <w:rsid w:val="00085F37"/>
    <w:rsid w:val="00094F0A"/>
    <w:rsid w:val="000A6394"/>
    <w:rsid w:val="000C038A"/>
    <w:rsid w:val="000C6598"/>
    <w:rsid w:val="000D50CF"/>
    <w:rsid w:val="000D6382"/>
    <w:rsid w:val="000F0803"/>
    <w:rsid w:val="000F23FA"/>
    <w:rsid w:val="000F31C4"/>
    <w:rsid w:val="000F6123"/>
    <w:rsid w:val="00112C4C"/>
    <w:rsid w:val="00116765"/>
    <w:rsid w:val="001179CE"/>
    <w:rsid w:val="00145D43"/>
    <w:rsid w:val="001562B4"/>
    <w:rsid w:val="0016286B"/>
    <w:rsid w:val="001670C1"/>
    <w:rsid w:val="001763A1"/>
    <w:rsid w:val="00191183"/>
    <w:rsid w:val="00192C46"/>
    <w:rsid w:val="001A7B60"/>
    <w:rsid w:val="001A7CA1"/>
    <w:rsid w:val="001B3EE1"/>
    <w:rsid w:val="001B6CDC"/>
    <w:rsid w:val="001B7A65"/>
    <w:rsid w:val="001D2CB8"/>
    <w:rsid w:val="001E41F3"/>
    <w:rsid w:val="001E48D4"/>
    <w:rsid w:val="001F14BE"/>
    <w:rsid w:val="001F5178"/>
    <w:rsid w:val="001F6D19"/>
    <w:rsid w:val="002218D6"/>
    <w:rsid w:val="00243C27"/>
    <w:rsid w:val="0026004D"/>
    <w:rsid w:val="00262C39"/>
    <w:rsid w:val="002636A7"/>
    <w:rsid w:val="002650ED"/>
    <w:rsid w:val="00274611"/>
    <w:rsid w:val="0027588B"/>
    <w:rsid w:val="00275D12"/>
    <w:rsid w:val="002769EB"/>
    <w:rsid w:val="002860C4"/>
    <w:rsid w:val="002A331F"/>
    <w:rsid w:val="002A37C8"/>
    <w:rsid w:val="002A47EF"/>
    <w:rsid w:val="002B23F9"/>
    <w:rsid w:val="002B24C6"/>
    <w:rsid w:val="002B5741"/>
    <w:rsid w:val="002B5B7A"/>
    <w:rsid w:val="002B5C80"/>
    <w:rsid w:val="002C238A"/>
    <w:rsid w:val="002E0071"/>
    <w:rsid w:val="002E595A"/>
    <w:rsid w:val="00303019"/>
    <w:rsid w:val="00305409"/>
    <w:rsid w:val="00307A43"/>
    <w:rsid w:val="00317062"/>
    <w:rsid w:val="00332A03"/>
    <w:rsid w:val="0035319E"/>
    <w:rsid w:val="00353346"/>
    <w:rsid w:val="00376EE0"/>
    <w:rsid w:val="00392B19"/>
    <w:rsid w:val="00396631"/>
    <w:rsid w:val="003A4E1D"/>
    <w:rsid w:val="003A5266"/>
    <w:rsid w:val="003A6A7C"/>
    <w:rsid w:val="003B597F"/>
    <w:rsid w:val="003B7609"/>
    <w:rsid w:val="003C12C0"/>
    <w:rsid w:val="003D15E8"/>
    <w:rsid w:val="003E1A36"/>
    <w:rsid w:val="003F4AEB"/>
    <w:rsid w:val="003F54CE"/>
    <w:rsid w:val="0040623E"/>
    <w:rsid w:val="004165D0"/>
    <w:rsid w:val="004242F1"/>
    <w:rsid w:val="00447131"/>
    <w:rsid w:val="00467657"/>
    <w:rsid w:val="00471AAC"/>
    <w:rsid w:val="00477480"/>
    <w:rsid w:val="00477891"/>
    <w:rsid w:val="004839DB"/>
    <w:rsid w:val="004865D4"/>
    <w:rsid w:val="004A1950"/>
    <w:rsid w:val="004A20E3"/>
    <w:rsid w:val="004B75B7"/>
    <w:rsid w:val="004F242B"/>
    <w:rsid w:val="004F6EC8"/>
    <w:rsid w:val="00501900"/>
    <w:rsid w:val="005124D6"/>
    <w:rsid w:val="0051580D"/>
    <w:rsid w:val="00520062"/>
    <w:rsid w:val="005237C9"/>
    <w:rsid w:val="00540E46"/>
    <w:rsid w:val="00563373"/>
    <w:rsid w:val="00564BDC"/>
    <w:rsid w:val="00591826"/>
    <w:rsid w:val="00592D74"/>
    <w:rsid w:val="00592FB9"/>
    <w:rsid w:val="005C2705"/>
    <w:rsid w:val="005C4D70"/>
    <w:rsid w:val="005D6988"/>
    <w:rsid w:val="005E2C44"/>
    <w:rsid w:val="005E3D2A"/>
    <w:rsid w:val="005E4D8A"/>
    <w:rsid w:val="005F11E7"/>
    <w:rsid w:val="005F2108"/>
    <w:rsid w:val="005F436C"/>
    <w:rsid w:val="0060254B"/>
    <w:rsid w:val="0060567A"/>
    <w:rsid w:val="00610D23"/>
    <w:rsid w:val="006124AB"/>
    <w:rsid w:val="00621188"/>
    <w:rsid w:val="00625052"/>
    <w:rsid w:val="006257ED"/>
    <w:rsid w:val="0062763C"/>
    <w:rsid w:val="00630D17"/>
    <w:rsid w:val="006310E9"/>
    <w:rsid w:val="006370F5"/>
    <w:rsid w:val="00646C7D"/>
    <w:rsid w:val="006760A7"/>
    <w:rsid w:val="006804C7"/>
    <w:rsid w:val="006848B8"/>
    <w:rsid w:val="00692C0B"/>
    <w:rsid w:val="00695808"/>
    <w:rsid w:val="006A5614"/>
    <w:rsid w:val="006B46FB"/>
    <w:rsid w:val="006D4226"/>
    <w:rsid w:val="006D56BC"/>
    <w:rsid w:val="006E21FB"/>
    <w:rsid w:val="006E74F4"/>
    <w:rsid w:val="0071052A"/>
    <w:rsid w:val="00711130"/>
    <w:rsid w:val="00721B9C"/>
    <w:rsid w:val="007342B2"/>
    <w:rsid w:val="00742578"/>
    <w:rsid w:val="00765952"/>
    <w:rsid w:val="00773339"/>
    <w:rsid w:val="00775CD6"/>
    <w:rsid w:val="007767A3"/>
    <w:rsid w:val="00777C65"/>
    <w:rsid w:val="0078515C"/>
    <w:rsid w:val="00792342"/>
    <w:rsid w:val="007936A3"/>
    <w:rsid w:val="00795237"/>
    <w:rsid w:val="007A34F3"/>
    <w:rsid w:val="007A6F2E"/>
    <w:rsid w:val="007B512A"/>
    <w:rsid w:val="007B572B"/>
    <w:rsid w:val="007C2097"/>
    <w:rsid w:val="007C2145"/>
    <w:rsid w:val="007C7A67"/>
    <w:rsid w:val="007D6A07"/>
    <w:rsid w:val="007E4113"/>
    <w:rsid w:val="007E59F8"/>
    <w:rsid w:val="007E5FC8"/>
    <w:rsid w:val="007F151A"/>
    <w:rsid w:val="00805D95"/>
    <w:rsid w:val="008227DB"/>
    <w:rsid w:val="008242DC"/>
    <w:rsid w:val="008279FA"/>
    <w:rsid w:val="00845D17"/>
    <w:rsid w:val="008579E4"/>
    <w:rsid w:val="008626E7"/>
    <w:rsid w:val="00870EE7"/>
    <w:rsid w:val="00875050"/>
    <w:rsid w:val="00893330"/>
    <w:rsid w:val="008B1F20"/>
    <w:rsid w:val="008C4751"/>
    <w:rsid w:val="008E5F2A"/>
    <w:rsid w:val="008E7D39"/>
    <w:rsid w:val="008F686C"/>
    <w:rsid w:val="009017EE"/>
    <w:rsid w:val="00913222"/>
    <w:rsid w:val="00916443"/>
    <w:rsid w:val="00917C9F"/>
    <w:rsid w:val="0093168E"/>
    <w:rsid w:val="00936638"/>
    <w:rsid w:val="00955FBC"/>
    <w:rsid w:val="00972525"/>
    <w:rsid w:val="009777D9"/>
    <w:rsid w:val="00981384"/>
    <w:rsid w:val="009824D9"/>
    <w:rsid w:val="00984A56"/>
    <w:rsid w:val="00991B88"/>
    <w:rsid w:val="00993F86"/>
    <w:rsid w:val="00995252"/>
    <w:rsid w:val="00996397"/>
    <w:rsid w:val="009A1081"/>
    <w:rsid w:val="009A579D"/>
    <w:rsid w:val="009B6AA0"/>
    <w:rsid w:val="009C41C1"/>
    <w:rsid w:val="009E0762"/>
    <w:rsid w:val="009E3297"/>
    <w:rsid w:val="009F251D"/>
    <w:rsid w:val="009F734F"/>
    <w:rsid w:val="00A01D9B"/>
    <w:rsid w:val="00A04081"/>
    <w:rsid w:val="00A07158"/>
    <w:rsid w:val="00A20AB3"/>
    <w:rsid w:val="00A21256"/>
    <w:rsid w:val="00A246B6"/>
    <w:rsid w:val="00A3732B"/>
    <w:rsid w:val="00A47E70"/>
    <w:rsid w:val="00A53AEF"/>
    <w:rsid w:val="00A65ACB"/>
    <w:rsid w:val="00A7671C"/>
    <w:rsid w:val="00AB00C3"/>
    <w:rsid w:val="00AB1244"/>
    <w:rsid w:val="00AB4AB8"/>
    <w:rsid w:val="00AD1CD8"/>
    <w:rsid w:val="00AE5A38"/>
    <w:rsid w:val="00AE6E2C"/>
    <w:rsid w:val="00AF43A8"/>
    <w:rsid w:val="00B04424"/>
    <w:rsid w:val="00B0502B"/>
    <w:rsid w:val="00B11042"/>
    <w:rsid w:val="00B210E8"/>
    <w:rsid w:val="00B24807"/>
    <w:rsid w:val="00B258BB"/>
    <w:rsid w:val="00B437CA"/>
    <w:rsid w:val="00B50379"/>
    <w:rsid w:val="00B560B5"/>
    <w:rsid w:val="00B67B97"/>
    <w:rsid w:val="00B70BDD"/>
    <w:rsid w:val="00B76C75"/>
    <w:rsid w:val="00B968C8"/>
    <w:rsid w:val="00B96C92"/>
    <w:rsid w:val="00BA15B9"/>
    <w:rsid w:val="00BA3CE1"/>
    <w:rsid w:val="00BA3EC5"/>
    <w:rsid w:val="00BB3C90"/>
    <w:rsid w:val="00BB48D8"/>
    <w:rsid w:val="00BB5DFC"/>
    <w:rsid w:val="00BD279D"/>
    <w:rsid w:val="00BD6BB8"/>
    <w:rsid w:val="00BE3B42"/>
    <w:rsid w:val="00C06E0F"/>
    <w:rsid w:val="00C07963"/>
    <w:rsid w:val="00C12DBC"/>
    <w:rsid w:val="00C31B69"/>
    <w:rsid w:val="00C5481B"/>
    <w:rsid w:val="00C573F0"/>
    <w:rsid w:val="00C74999"/>
    <w:rsid w:val="00C74ED2"/>
    <w:rsid w:val="00C95985"/>
    <w:rsid w:val="00C95B80"/>
    <w:rsid w:val="00CA6304"/>
    <w:rsid w:val="00CB512D"/>
    <w:rsid w:val="00CC5026"/>
    <w:rsid w:val="00CC644F"/>
    <w:rsid w:val="00CE5C0E"/>
    <w:rsid w:val="00CE7CD9"/>
    <w:rsid w:val="00CE7E40"/>
    <w:rsid w:val="00D03F9A"/>
    <w:rsid w:val="00D104E0"/>
    <w:rsid w:val="00D157AF"/>
    <w:rsid w:val="00D202FA"/>
    <w:rsid w:val="00D20A97"/>
    <w:rsid w:val="00D35F6F"/>
    <w:rsid w:val="00D608C3"/>
    <w:rsid w:val="00D63018"/>
    <w:rsid w:val="00D71CB7"/>
    <w:rsid w:val="00D860EC"/>
    <w:rsid w:val="00D95B9C"/>
    <w:rsid w:val="00D96016"/>
    <w:rsid w:val="00DB66FE"/>
    <w:rsid w:val="00DD5724"/>
    <w:rsid w:val="00DD624F"/>
    <w:rsid w:val="00DE34CF"/>
    <w:rsid w:val="00DE6E1D"/>
    <w:rsid w:val="00E02866"/>
    <w:rsid w:val="00E130D1"/>
    <w:rsid w:val="00E15BA1"/>
    <w:rsid w:val="00E27E18"/>
    <w:rsid w:val="00E64117"/>
    <w:rsid w:val="00E9743C"/>
    <w:rsid w:val="00EA32CF"/>
    <w:rsid w:val="00EA3B9B"/>
    <w:rsid w:val="00EB2397"/>
    <w:rsid w:val="00EB3F46"/>
    <w:rsid w:val="00EC4AC2"/>
    <w:rsid w:val="00EE0733"/>
    <w:rsid w:val="00EE1D15"/>
    <w:rsid w:val="00EE47B4"/>
    <w:rsid w:val="00EE7D7C"/>
    <w:rsid w:val="00EF376B"/>
    <w:rsid w:val="00EF3A19"/>
    <w:rsid w:val="00F03AED"/>
    <w:rsid w:val="00F03C76"/>
    <w:rsid w:val="00F10B0F"/>
    <w:rsid w:val="00F11694"/>
    <w:rsid w:val="00F23284"/>
    <w:rsid w:val="00F2517E"/>
    <w:rsid w:val="00F25D98"/>
    <w:rsid w:val="00F300FB"/>
    <w:rsid w:val="00F3190B"/>
    <w:rsid w:val="00F34CFB"/>
    <w:rsid w:val="00F542BA"/>
    <w:rsid w:val="00F61596"/>
    <w:rsid w:val="00F65C9B"/>
    <w:rsid w:val="00F75006"/>
    <w:rsid w:val="00F77D84"/>
    <w:rsid w:val="00F9031B"/>
    <w:rsid w:val="00F92B61"/>
    <w:rsid w:val="00FA55A0"/>
    <w:rsid w:val="00FB6386"/>
    <w:rsid w:val="00FB7DE3"/>
    <w:rsid w:val="00FE006E"/>
    <w:rsid w:val="00FE57B3"/>
    <w:rsid w:val="00FF251F"/>
    <w:rsid w:val="00FF527E"/>
    <w:rsid w:val="021100AD"/>
    <w:rsid w:val="02314CFB"/>
    <w:rsid w:val="02424710"/>
    <w:rsid w:val="029606A0"/>
    <w:rsid w:val="02B6410D"/>
    <w:rsid w:val="03C04C4C"/>
    <w:rsid w:val="03C25722"/>
    <w:rsid w:val="046B0AFB"/>
    <w:rsid w:val="047B6766"/>
    <w:rsid w:val="04902C29"/>
    <w:rsid w:val="050A49E9"/>
    <w:rsid w:val="0565445C"/>
    <w:rsid w:val="05831AC2"/>
    <w:rsid w:val="05FC4D85"/>
    <w:rsid w:val="06657134"/>
    <w:rsid w:val="066B10C8"/>
    <w:rsid w:val="070A4F23"/>
    <w:rsid w:val="078E190B"/>
    <w:rsid w:val="07D32521"/>
    <w:rsid w:val="07E10FF8"/>
    <w:rsid w:val="0803179D"/>
    <w:rsid w:val="0829233F"/>
    <w:rsid w:val="082F3E1F"/>
    <w:rsid w:val="083C4E88"/>
    <w:rsid w:val="08AA5582"/>
    <w:rsid w:val="08B769CC"/>
    <w:rsid w:val="094A5EB7"/>
    <w:rsid w:val="0A7678A3"/>
    <w:rsid w:val="0ADD5BA9"/>
    <w:rsid w:val="0B7E552D"/>
    <w:rsid w:val="0BC76DF6"/>
    <w:rsid w:val="0C1E4482"/>
    <w:rsid w:val="0CDA2211"/>
    <w:rsid w:val="0D2663CA"/>
    <w:rsid w:val="0D35089D"/>
    <w:rsid w:val="0D5E5037"/>
    <w:rsid w:val="0DCB32D9"/>
    <w:rsid w:val="0E1A67A7"/>
    <w:rsid w:val="0E1F3B50"/>
    <w:rsid w:val="0E722A60"/>
    <w:rsid w:val="0E79247A"/>
    <w:rsid w:val="0E843501"/>
    <w:rsid w:val="0EC87264"/>
    <w:rsid w:val="0F1C2401"/>
    <w:rsid w:val="0F2858DE"/>
    <w:rsid w:val="0FB56966"/>
    <w:rsid w:val="105D2496"/>
    <w:rsid w:val="108604C0"/>
    <w:rsid w:val="10A165AE"/>
    <w:rsid w:val="110B6630"/>
    <w:rsid w:val="11BC0671"/>
    <w:rsid w:val="121A489B"/>
    <w:rsid w:val="12AE3BE5"/>
    <w:rsid w:val="12E01CD0"/>
    <w:rsid w:val="13A16BC6"/>
    <w:rsid w:val="141776B5"/>
    <w:rsid w:val="145A5979"/>
    <w:rsid w:val="14711EAF"/>
    <w:rsid w:val="14955CB4"/>
    <w:rsid w:val="14C01F86"/>
    <w:rsid w:val="14EB2104"/>
    <w:rsid w:val="15022301"/>
    <w:rsid w:val="15392E1F"/>
    <w:rsid w:val="15725EED"/>
    <w:rsid w:val="159513D2"/>
    <w:rsid w:val="15B565E3"/>
    <w:rsid w:val="15F9651E"/>
    <w:rsid w:val="16892D39"/>
    <w:rsid w:val="16CE0C48"/>
    <w:rsid w:val="17033956"/>
    <w:rsid w:val="170449DD"/>
    <w:rsid w:val="173B0769"/>
    <w:rsid w:val="173D3649"/>
    <w:rsid w:val="17405C8B"/>
    <w:rsid w:val="17585B89"/>
    <w:rsid w:val="19027CA2"/>
    <w:rsid w:val="193C2FED"/>
    <w:rsid w:val="19400D3F"/>
    <w:rsid w:val="197F3275"/>
    <w:rsid w:val="1A467E76"/>
    <w:rsid w:val="1B2A29F5"/>
    <w:rsid w:val="1C736ED2"/>
    <w:rsid w:val="1CAE396C"/>
    <w:rsid w:val="1D8B2BA0"/>
    <w:rsid w:val="1D9C1C88"/>
    <w:rsid w:val="1E1C555D"/>
    <w:rsid w:val="1E224E5F"/>
    <w:rsid w:val="1E7E13AF"/>
    <w:rsid w:val="1EF342E4"/>
    <w:rsid w:val="1F0F700D"/>
    <w:rsid w:val="1F7E42A1"/>
    <w:rsid w:val="1FE75287"/>
    <w:rsid w:val="1FE82C06"/>
    <w:rsid w:val="20DA0179"/>
    <w:rsid w:val="20ED1FDB"/>
    <w:rsid w:val="20EF2DD9"/>
    <w:rsid w:val="211C3A2E"/>
    <w:rsid w:val="220D347A"/>
    <w:rsid w:val="22514B69"/>
    <w:rsid w:val="22910AD3"/>
    <w:rsid w:val="230D6334"/>
    <w:rsid w:val="234B77C8"/>
    <w:rsid w:val="23563466"/>
    <w:rsid w:val="23783A33"/>
    <w:rsid w:val="23D9229C"/>
    <w:rsid w:val="23FC36DA"/>
    <w:rsid w:val="24283E8E"/>
    <w:rsid w:val="24302660"/>
    <w:rsid w:val="24985ABD"/>
    <w:rsid w:val="256274BB"/>
    <w:rsid w:val="257A73D0"/>
    <w:rsid w:val="25ED790B"/>
    <w:rsid w:val="26190A47"/>
    <w:rsid w:val="266B1C01"/>
    <w:rsid w:val="26E03DD5"/>
    <w:rsid w:val="27125851"/>
    <w:rsid w:val="284C00B1"/>
    <w:rsid w:val="28534DAC"/>
    <w:rsid w:val="28744B46"/>
    <w:rsid w:val="29A16918"/>
    <w:rsid w:val="2A9F5779"/>
    <w:rsid w:val="2BBA4A9E"/>
    <w:rsid w:val="2BCC7B24"/>
    <w:rsid w:val="2BF849F8"/>
    <w:rsid w:val="2C47711C"/>
    <w:rsid w:val="2C731D83"/>
    <w:rsid w:val="2C7D1C6D"/>
    <w:rsid w:val="2C881A98"/>
    <w:rsid w:val="2CF90952"/>
    <w:rsid w:val="2D7209C0"/>
    <w:rsid w:val="2E2748B6"/>
    <w:rsid w:val="2E2D7057"/>
    <w:rsid w:val="2E391103"/>
    <w:rsid w:val="2F1B78B5"/>
    <w:rsid w:val="2F2A58AF"/>
    <w:rsid w:val="304F7AD8"/>
    <w:rsid w:val="30AD5AB4"/>
    <w:rsid w:val="30CE0206"/>
    <w:rsid w:val="30D0305A"/>
    <w:rsid w:val="30FC4B5C"/>
    <w:rsid w:val="31077786"/>
    <w:rsid w:val="315422EB"/>
    <w:rsid w:val="31725D88"/>
    <w:rsid w:val="31884386"/>
    <w:rsid w:val="32567038"/>
    <w:rsid w:val="325A31BA"/>
    <w:rsid w:val="325C1658"/>
    <w:rsid w:val="327270CC"/>
    <w:rsid w:val="32B23306"/>
    <w:rsid w:val="331A4DC5"/>
    <w:rsid w:val="341F1AE0"/>
    <w:rsid w:val="34FC137E"/>
    <w:rsid w:val="356C32D6"/>
    <w:rsid w:val="360B0AE8"/>
    <w:rsid w:val="36725295"/>
    <w:rsid w:val="367766C2"/>
    <w:rsid w:val="369D11F6"/>
    <w:rsid w:val="36FC310E"/>
    <w:rsid w:val="379C7B25"/>
    <w:rsid w:val="37EF36A8"/>
    <w:rsid w:val="3816248E"/>
    <w:rsid w:val="382D1DC6"/>
    <w:rsid w:val="382E0606"/>
    <w:rsid w:val="38766FBC"/>
    <w:rsid w:val="38E13258"/>
    <w:rsid w:val="39027244"/>
    <w:rsid w:val="39645C03"/>
    <w:rsid w:val="39986681"/>
    <w:rsid w:val="39CE3BB6"/>
    <w:rsid w:val="3A1916D3"/>
    <w:rsid w:val="3A827982"/>
    <w:rsid w:val="3B4300E3"/>
    <w:rsid w:val="3B8F5FB6"/>
    <w:rsid w:val="3BE34C0E"/>
    <w:rsid w:val="3BFC6D0D"/>
    <w:rsid w:val="3C1F56A2"/>
    <w:rsid w:val="3C5A1BC8"/>
    <w:rsid w:val="3CD27840"/>
    <w:rsid w:val="3D2E2BD1"/>
    <w:rsid w:val="3D790BBA"/>
    <w:rsid w:val="3E6029C2"/>
    <w:rsid w:val="3EA145D3"/>
    <w:rsid w:val="3EA202F2"/>
    <w:rsid w:val="3F842F4B"/>
    <w:rsid w:val="3F9B7582"/>
    <w:rsid w:val="3FA6023D"/>
    <w:rsid w:val="3FBF6B98"/>
    <w:rsid w:val="3FE67FE0"/>
    <w:rsid w:val="40115EBC"/>
    <w:rsid w:val="40120AD4"/>
    <w:rsid w:val="40755CAB"/>
    <w:rsid w:val="408F75BE"/>
    <w:rsid w:val="40D6788C"/>
    <w:rsid w:val="4192019E"/>
    <w:rsid w:val="41AC0492"/>
    <w:rsid w:val="41EB5D37"/>
    <w:rsid w:val="41F97FAB"/>
    <w:rsid w:val="420644A1"/>
    <w:rsid w:val="4236096F"/>
    <w:rsid w:val="428D2930"/>
    <w:rsid w:val="42F8292C"/>
    <w:rsid w:val="43441A86"/>
    <w:rsid w:val="44D67D94"/>
    <w:rsid w:val="452E1CF6"/>
    <w:rsid w:val="456B524D"/>
    <w:rsid w:val="45977A54"/>
    <w:rsid w:val="46654313"/>
    <w:rsid w:val="46A7591B"/>
    <w:rsid w:val="46F17CBA"/>
    <w:rsid w:val="46F509C7"/>
    <w:rsid w:val="47BB4B69"/>
    <w:rsid w:val="48AB22CF"/>
    <w:rsid w:val="49406BDE"/>
    <w:rsid w:val="496A411A"/>
    <w:rsid w:val="49867F09"/>
    <w:rsid w:val="49B104D5"/>
    <w:rsid w:val="49C42C5E"/>
    <w:rsid w:val="4ABD2146"/>
    <w:rsid w:val="4AC05BB3"/>
    <w:rsid w:val="4AEB60AC"/>
    <w:rsid w:val="4B051929"/>
    <w:rsid w:val="4B0C464D"/>
    <w:rsid w:val="4B190F1F"/>
    <w:rsid w:val="4B2405D2"/>
    <w:rsid w:val="4B660899"/>
    <w:rsid w:val="4B825093"/>
    <w:rsid w:val="4D165519"/>
    <w:rsid w:val="4D4B58B2"/>
    <w:rsid w:val="4EDD3DFB"/>
    <w:rsid w:val="4F3003B4"/>
    <w:rsid w:val="4FB11CA9"/>
    <w:rsid w:val="4FFC51F3"/>
    <w:rsid w:val="514E4CD0"/>
    <w:rsid w:val="516F7434"/>
    <w:rsid w:val="518A4738"/>
    <w:rsid w:val="52425B56"/>
    <w:rsid w:val="526E4E8F"/>
    <w:rsid w:val="53B014E9"/>
    <w:rsid w:val="543658E5"/>
    <w:rsid w:val="54C53E34"/>
    <w:rsid w:val="54C6143C"/>
    <w:rsid w:val="54EE30CD"/>
    <w:rsid w:val="555D71C1"/>
    <w:rsid w:val="556340B1"/>
    <w:rsid w:val="55673785"/>
    <w:rsid w:val="55A64981"/>
    <w:rsid w:val="55C54239"/>
    <w:rsid w:val="56311255"/>
    <w:rsid w:val="568B4400"/>
    <w:rsid w:val="56F27BA6"/>
    <w:rsid w:val="57314D78"/>
    <w:rsid w:val="57A0615A"/>
    <w:rsid w:val="57E34263"/>
    <w:rsid w:val="58053B7A"/>
    <w:rsid w:val="582833A5"/>
    <w:rsid w:val="583D78F7"/>
    <w:rsid w:val="584D554C"/>
    <w:rsid w:val="586713D9"/>
    <w:rsid w:val="5896385C"/>
    <w:rsid w:val="5A1024D4"/>
    <w:rsid w:val="5A2C7780"/>
    <w:rsid w:val="5AA26DC7"/>
    <w:rsid w:val="5AC94A10"/>
    <w:rsid w:val="5AFA13FE"/>
    <w:rsid w:val="5B2C254C"/>
    <w:rsid w:val="5B563943"/>
    <w:rsid w:val="5BF43EE2"/>
    <w:rsid w:val="5C01140E"/>
    <w:rsid w:val="5C2B5914"/>
    <w:rsid w:val="5CE20B9F"/>
    <w:rsid w:val="5DF85A60"/>
    <w:rsid w:val="5EA5328A"/>
    <w:rsid w:val="5F4E3CEE"/>
    <w:rsid w:val="5F5541DC"/>
    <w:rsid w:val="5F676F22"/>
    <w:rsid w:val="5F9277AC"/>
    <w:rsid w:val="5F9D0396"/>
    <w:rsid w:val="5FCD33D7"/>
    <w:rsid w:val="5FD71ABA"/>
    <w:rsid w:val="6001063F"/>
    <w:rsid w:val="601C4126"/>
    <w:rsid w:val="60423854"/>
    <w:rsid w:val="60D12ECB"/>
    <w:rsid w:val="60DA19EF"/>
    <w:rsid w:val="60EF2AA3"/>
    <w:rsid w:val="61537C04"/>
    <w:rsid w:val="61AA751B"/>
    <w:rsid w:val="61E26061"/>
    <w:rsid w:val="62493D02"/>
    <w:rsid w:val="62860820"/>
    <w:rsid w:val="62B05610"/>
    <w:rsid w:val="635105BF"/>
    <w:rsid w:val="6364267C"/>
    <w:rsid w:val="63993A57"/>
    <w:rsid w:val="6416293D"/>
    <w:rsid w:val="645E0A74"/>
    <w:rsid w:val="64A25D5B"/>
    <w:rsid w:val="652E394F"/>
    <w:rsid w:val="65614A1F"/>
    <w:rsid w:val="65871A77"/>
    <w:rsid w:val="65B149F1"/>
    <w:rsid w:val="65F40D63"/>
    <w:rsid w:val="66594725"/>
    <w:rsid w:val="66CA235F"/>
    <w:rsid w:val="66FC4B5B"/>
    <w:rsid w:val="67430C32"/>
    <w:rsid w:val="67440738"/>
    <w:rsid w:val="6791705A"/>
    <w:rsid w:val="67C45536"/>
    <w:rsid w:val="67FC6DE9"/>
    <w:rsid w:val="682702CE"/>
    <w:rsid w:val="68435B4B"/>
    <w:rsid w:val="68F30549"/>
    <w:rsid w:val="68FE0FE9"/>
    <w:rsid w:val="69531CB9"/>
    <w:rsid w:val="6AC72B14"/>
    <w:rsid w:val="6AD15A43"/>
    <w:rsid w:val="6B3876E4"/>
    <w:rsid w:val="6B923091"/>
    <w:rsid w:val="6BD06FF7"/>
    <w:rsid w:val="6C0F4EDB"/>
    <w:rsid w:val="6C64382D"/>
    <w:rsid w:val="6C763FB2"/>
    <w:rsid w:val="6CCC3613"/>
    <w:rsid w:val="6CCF3BC8"/>
    <w:rsid w:val="6CD61101"/>
    <w:rsid w:val="6CEF7974"/>
    <w:rsid w:val="6DA75965"/>
    <w:rsid w:val="6DD759AD"/>
    <w:rsid w:val="6E271126"/>
    <w:rsid w:val="6E817F3E"/>
    <w:rsid w:val="6EA0399B"/>
    <w:rsid w:val="6EEA5749"/>
    <w:rsid w:val="6FDD6311"/>
    <w:rsid w:val="6FE12C83"/>
    <w:rsid w:val="6FF40287"/>
    <w:rsid w:val="706C4570"/>
    <w:rsid w:val="708673CA"/>
    <w:rsid w:val="710E3FA7"/>
    <w:rsid w:val="715258D0"/>
    <w:rsid w:val="71632467"/>
    <w:rsid w:val="7175278D"/>
    <w:rsid w:val="719D4B0B"/>
    <w:rsid w:val="71F8079E"/>
    <w:rsid w:val="7269174F"/>
    <w:rsid w:val="72696CD3"/>
    <w:rsid w:val="72A714BD"/>
    <w:rsid w:val="73916161"/>
    <w:rsid w:val="7396617F"/>
    <w:rsid w:val="740E76E4"/>
    <w:rsid w:val="743E1400"/>
    <w:rsid w:val="74726563"/>
    <w:rsid w:val="74FA12A9"/>
    <w:rsid w:val="7571766F"/>
    <w:rsid w:val="759A0B8C"/>
    <w:rsid w:val="75BF68C1"/>
    <w:rsid w:val="75CC16B7"/>
    <w:rsid w:val="75DB17A2"/>
    <w:rsid w:val="761514FD"/>
    <w:rsid w:val="762B3FC5"/>
    <w:rsid w:val="763F03BA"/>
    <w:rsid w:val="765D66F3"/>
    <w:rsid w:val="76600B15"/>
    <w:rsid w:val="769567DC"/>
    <w:rsid w:val="76A44FE3"/>
    <w:rsid w:val="76C939D3"/>
    <w:rsid w:val="773F160A"/>
    <w:rsid w:val="77452250"/>
    <w:rsid w:val="7771450A"/>
    <w:rsid w:val="779D6E00"/>
    <w:rsid w:val="77EC059E"/>
    <w:rsid w:val="78744948"/>
    <w:rsid w:val="78924924"/>
    <w:rsid w:val="78A06036"/>
    <w:rsid w:val="79710DFD"/>
    <w:rsid w:val="79A45BC8"/>
    <w:rsid w:val="79B03885"/>
    <w:rsid w:val="7A250C93"/>
    <w:rsid w:val="7AFB035C"/>
    <w:rsid w:val="7B3A4EAC"/>
    <w:rsid w:val="7B6F3F39"/>
    <w:rsid w:val="7B90290D"/>
    <w:rsid w:val="7D7C1EF8"/>
    <w:rsid w:val="7E054230"/>
    <w:rsid w:val="7E0878D8"/>
    <w:rsid w:val="7E481BF4"/>
    <w:rsid w:val="7E6777CB"/>
    <w:rsid w:val="7E9C0816"/>
    <w:rsid w:val="7ECB76BD"/>
    <w:rsid w:val="7EE722AD"/>
    <w:rsid w:val="7F5368D4"/>
    <w:rsid w:val="7F5D20B4"/>
    <w:rsid w:val="7F752146"/>
    <w:rsid w:val="7FF63BD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78" w:lineRule="auto"/>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line="278" w:lineRule="auto"/>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3"/>
    <w:qFormat/>
    <w:uiPriority w:val="0"/>
    <w:pPr>
      <w:spacing w:before="120"/>
      <w:outlineLvl w:val="2"/>
    </w:pPr>
    <w:rPr>
      <w:sz w:val="28"/>
    </w:rPr>
  </w:style>
  <w:style w:type="paragraph" w:styleId="5">
    <w:name w:val="heading 4"/>
    <w:basedOn w:val="4"/>
    <w:next w:val="1"/>
    <w:link w:val="9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4"/>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after="160" w:line="278" w:lineRule="auto"/>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2"/>
    <w:qFormat/>
    <w:uiPriority w:val="0"/>
    <w:pPr>
      <w:shd w:val="clear" w:color="auto" w:fill="000080"/>
    </w:pPr>
    <w:rPr>
      <w:rFonts w:ascii="Tahoma" w:hAnsi="Tahoma" w:cs="Tahoma"/>
    </w:rPr>
  </w:style>
  <w:style w:type="paragraph" w:styleId="29">
    <w:name w:val="annotation text"/>
    <w:basedOn w:val="1"/>
    <w:link w:val="110"/>
    <w:qFormat/>
    <w:uiPriority w:val="0"/>
  </w:style>
  <w:style w:type="paragraph" w:styleId="30">
    <w:name w:val="List Bullet 5"/>
    <w:basedOn w:val="24"/>
    <w:qFormat/>
    <w:uiPriority w:val="0"/>
    <w:pPr>
      <w:ind w:left="1702"/>
    </w:pPr>
  </w:style>
  <w:style w:type="paragraph" w:styleId="31">
    <w:name w:val="toc 8"/>
    <w:basedOn w:val="21"/>
    <w:next w:val="1"/>
    <w:qFormat/>
    <w:uiPriority w:val="0"/>
    <w:pPr>
      <w:spacing w:before="180"/>
      <w:ind w:left="2693" w:hanging="2693"/>
    </w:pPr>
    <w:rPr>
      <w:b/>
    </w:rPr>
  </w:style>
  <w:style w:type="paragraph" w:styleId="32">
    <w:name w:val="Balloon Text"/>
    <w:basedOn w:val="1"/>
    <w:link w:val="49"/>
    <w:qFormat/>
    <w:uiPriority w:val="0"/>
    <w:rPr>
      <w:rFonts w:ascii="Tahoma" w:hAnsi="Tahoma" w:cs="Tahoma"/>
      <w:sz w:val="16"/>
      <w:szCs w:val="16"/>
    </w:rPr>
  </w:style>
  <w:style w:type="paragraph" w:styleId="33">
    <w:name w:val="footer"/>
    <w:basedOn w:val="34"/>
    <w:link w:val="95"/>
    <w:qFormat/>
    <w:uiPriority w:val="0"/>
    <w:pPr>
      <w:jc w:val="center"/>
    </w:pPr>
    <w:rPr>
      <w:i/>
    </w:rPr>
  </w:style>
  <w:style w:type="paragraph" w:styleId="34">
    <w:name w:val="header"/>
    <w:link w:val="86"/>
    <w:qFormat/>
    <w:uiPriority w:val="0"/>
    <w:pPr>
      <w:widowControl w:val="0"/>
      <w:spacing w:after="160" w:line="278" w:lineRule="auto"/>
    </w:pPr>
    <w:rPr>
      <w:rFonts w:ascii="Arial" w:hAnsi="Arial" w:eastAsia="Times New Roman" w:cs="Times New Roman"/>
      <w:b/>
      <w:sz w:val="18"/>
      <w:lang w:val="en-GB" w:eastAsia="en-US" w:bidi="ar-SA"/>
    </w:rPr>
  </w:style>
  <w:style w:type="paragraph" w:styleId="35">
    <w:name w:val="footnote text"/>
    <w:basedOn w:val="1"/>
    <w:link w:val="109"/>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0"/>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9"/>
    <w:next w:val="29"/>
    <w:link w:val="111"/>
    <w:qFormat/>
    <w:uiPriority w:val="0"/>
    <w:rPr>
      <w:b/>
      <w:bCs/>
    </w:rPr>
  </w:style>
  <w:style w:type="table" w:styleId="43">
    <w:name w:val="Table Grid"/>
    <w:basedOn w:val="42"/>
    <w:qFormat/>
    <w:uiPriority w:val="39"/>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99"/>
    <w:rPr>
      <w:color w:val="0000FF"/>
      <w:u w:val="single"/>
    </w:rPr>
  </w:style>
  <w:style w:type="character" w:styleId="47">
    <w:name w:val="annotation reference"/>
    <w:qFormat/>
    <w:uiPriority w:val="0"/>
    <w:rPr>
      <w:sz w:val="16"/>
    </w:rPr>
  </w:style>
  <w:style w:type="character" w:styleId="48">
    <w:name w:val="footnote reference"/>
    <w:qFormat/>
    <w:uiPriority w:val="0"/>
    <w:rPr>
      <w:b/>
      <w:position w:val="6"/>
      <w:sz w:val="16"/>
    </w:rPr>
  </w:style>
  <w:style w:type="character" w:customStyle="1" w:styleId="49">
    <w:name w:val="批注框文本 字符"/>
    <w:link w:val="32"/>
    <w:qFormat/>
    <w:uiPriority w:val="0"/>
    <w:rPr>
      <w:rFonts w:ascii="Tahoma" w:hAnsi="Tahoma" w:cs="Tahoma"/>
      <w:sz w:val="16"/>
      <w:szCs w:val="16"/>
      <w:lang w:val="en-GB"/>
    </w:rPr>
  </w:style>
  <w:style w:type="paragraph" w:customStyle="1" w:styleId="50">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spacing w:after="160" w:line="278" w:lineRule="auto"/>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1"/>
    <w:qFormat/>
    <w:uiPriority w:val="0"/>
    <w:rPr>
      <w:b/>
    </w:rPr>
  </w:style>
  <w:style w:type="paragraph" w:customStyle="1" w:styleId="54">
    <w:name w:val="TAC"/>
    <w:basedOn w:val="55"/>
    <w:link w:val="90"/>
    <w:qFormat/>
    <w:uiPriority w:val="0"/>
    <w:pPr>
      <w:jc w:val="center"/>
    </w:pPr>
  </w:style>
  <w:style w:type="paragraph" w:customStyle="1" w:styleId="55">
    <w:name w:val="TAL"/>
    <w:basedOn w:val="1"/>
    <w:link w:val="89"/>
    <w:qFormat/>
    <w:uiPriority w:val="0"/>
    <w:pPr>
      <w:keepNext/>
      <w:keepLines/>
      <w:spacing w:after="0"/>
    </w:pPr>
    <w:rPr>
      <w:rFonts w:ascii="Arial" w:hAnsi="Arial"/>
      <w:sz w:val="18"/>
    </w:rPr>
  </w:style>
  <w:style w:type="paragraph" w:customStyle="1" w:styleId="56">
    <w:name w:val="TF"/>
    <w:basedOn w:val="57"/>
    <w:link w:val="102"/>
    <w:qFormat/>
    <w:uiPriority w:val="0"/>
    <w:pPr>
      <w:keepNext w:val="0"/>
      <w:spacing w:before="0" w:after="240"/>
    </w:pPr>
  </w:style>
  <w:style w:type="paragraph" w:customStyle="1" w:styleId="57">
    <w:name w:val="TH"/>
    <w:basedOn w:val="1"/>
    <w:link w:val="101"/>
    <w:qFormat/>
    <w:uiPriority w:val="0"/>
    <w:pPr>
      <w:keepNext/>
      <w:keepLines/>
      <w:spacing w:before="60"/>
      <w:jc w:val="center"/>
    </w:pPr>
    <w:rPr>
      <w:rFonts w:ascii="Arial" w:hAnsi="Arial"/>
      <w:b/>
    </w:rPr>
  </w:style>
  <w:style w:type="paragraph" w:customStyle="1" w:styleId="58">
    <w:name w:val="NO"/>
    <w:basedOn w:val="1"/>
    <w:link w:val="96"/>
    <w:qFormat/>
    <w:uiPriority w:val="0"/>
    <w:pPr>
      <w:keepLines/>
      <w:ind w:left="1135" w:hanging="851"/>
    </w:pPr>
  </w:style>
  <w:style w:type="paragraph" w:customStyle="1" w:styleId="59">
    <w:name w:val="EX"/>
    <w:basedOn w:val="1"/>
    <w:link w:val="98"/>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after="160"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9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78" w:lineRule="auto"/>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spacing w:after="160" w:line="278" w:lineRule="auto"/>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spacing w:after="160" w:line="278" w:lineRule="auto"/>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spacing w:after="160" w:line="278" w:lineRule="auto"/>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spacing w:after="160" w:line="278" w:lineRule="auto"/>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spacing w:after="160" w:line="278" w:lineRule="auto"/>
      <w:jc w:val="right"/>
    </w:pPr>
    <w:rPr>
      <w:rFonts w:ascii="Arial" w:hAnsi="Arial" w:eastAsia="Times New Roman" w:cs="Times New Roman"/>
      <w:lang w:val="en-GB" w:eastAsia="en-US" w:bidi="ar-SA"/>
    </w:rPr>
  </w:style>
  <w:style w:type="paragraph" w:customStyle="1" w:styleId="76">
    <w:name w:val="Editor's Note"/>
    <w:basedOn w:val="58"/>
    <w:link w:val="100"/>
    <w:qFormat/>
    <w:uiPriority w:val="0"/>
    <w:rPr>
      <w:color w:val="FF0000"/>
    </w:rPr>
  </w:style>
  <w:style w:type="paragraph" w:customStyle="1" w:styleId="77">
    <w:name w:val="B1"/>
    <w:basedOn w:val="14"/>
    <w:link w:val="99"/>
    <w:qFormat/>
    <w:uiPriority w:val="0"/>
  </w:style>
  <w:style w:type="paragraph" w:customStyle="1" w:styleId="78">
    <w:name w:val="B2"/>
    <w:basedOn w:val="13"/>
    <w:link w:val="103"/>
    <w:qFormat/>
    <w:uiPriority w:val="0"/>
  </w:style>
  <w:style w:type="paragraph" w:customStyle="1" w:styleId="79">
    <w:name w:val="B3"/>
    <w:basedOn w:val="12"/>
    <w:link w:val="104"/>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125"/>
    <w:qFormat/>
    <w:uiPriority w:val="0"/>
    <w:pPr>
      <w:spacing w:after="120" w:line="278" w:lineRule="auto"/>
    </w:pPr>
    <w:rPr>
      <w:rFonts w:ascii="Arial" w:hAnsi="Arial" w:eastAsia="Times New Roman" w:cs="Times New Roman"/>
      <w:lang w:val="en-GB" w:eastAsia="en-US" w:bidi="ar-SA"/>
    </w:rPr>
  </w:style>
  <w:style w:type="paragraph" w:customStyle="1" w:styleId="84">
    <w:name w:val="tdoc-header"/>
    <w:qFormat/>
    <w:uiPriority w:val="0"/>
    <w:pPr>
      <w:spacing w:after="160" w:line="278" w:lineRule="auto"/>
    </w:pPr>
    <w:rPr>
      <w:rFonts w:ascii="Arial" w:hAnsi="Arial" w:eastAsia="Times New Roman" w:cs="Times New Roman"/>
      <w:sz w:val="24"/>
      <w:lang w:val="en-GB" w:eastAsia="en-US" w:bidi="ar-SA"/>
    </w:rPr>
  </w:style>
  <w:style w:type="paragraph" w:customStyle="1" w:styleId="85">
    <w:name w:val="First Change"/>
    <w:basedOn w:val="1"/>
    <w:qFormat/>
    <w:uiPriority w:val="0"/>
    <w:pPr>
      <w:jc w:val="center"/>
    </w:pPr>
    <w:rPr>
      <w:color w:val="FF0000"/>
    </w:rPr>
  </w:style>
  <w:style w:type="character" w:customStyle="1" w:styleId="86">
    <w:name w:val="页眉 字符"/>
    <w:link w:val="34"/>
    <w:qFormat/>
    <w:uiPriority w:val="0"/>
    <w:rPr>
      <w:rFonts w:ascii="Arial" w:hAnsi="Arial"/>
      <w:b/>
      <w:sz w:val="18"/>
      <w:lang w:eastAsia="en-US"/>
    </w:rPr>
  </w:style>
  <w:style w:type="paragraph" w:customStyle="1" w:styleId="87">
    <w:name w:val="a"/>
    <w:basedOn w:val="83"/>
    <w:qFormat/>
    <w:uiPriority w:val="0"/>
    <w:pPr>
      <w:tabs>
        <w:tab w:val="left" w:pos="1985"/>
      </w:tabs>
    </w:pPr>
    <w:rPr>
      <w:rFonts w:cs="Arial"/>
      <w:b/>
      <w:bCs/>
      <w:color w:val="000000"/>
      <w:sz w:val="24"/>
      <w:szCs w:val="24"/>
      <w:lang w:val="en-US"/>
    </w:rPr>
  </w:style>
  <w:style w:type="paragraph" w:customStyle="1" w:styleId="88">
    <w:name w:val="Discussion"/>
    <w:basedOn w:val="1"/>
    <w:qFormat/>
    <w:uiPriority w:val="0"/>
    <w:rPr>
      <w:rFonts w:ascii="Arial" w:hAnsi="Arial" w:cs="Arial"/>
    </w:rPr>
  </w:style>
  <w:style w:type="character" w:customStyle="1" w:styleId="89">
    <w:name w:val="TAL Char"/>
    <w:link w:val="55"/>
    <w:qFormat/>
    <w:uiPriority w:val="0"/>
    <w:rPr>
      <w:rFonts w:ascii="Arial" w:hAnsi="Arial"/>
      <w:sz w:val="18"/>
      <w:lang w:val="en-GB"/>
    </w:rPr>
  </w:style>
  <w:style w:type="character" w:customStyle="1" w:styleId="90">
    <w:name w:val="TAC Char"/>
    <w:link w:val="54"/>
    <w:qFormat/>
    <w:uiPriority w:val="0"/>
    <w:rPr>
      <w:rFonts w:ascii="Arial" w:hAnsi="Arial"/>
      <w:sz w:val="18"/>
      <w:lang w:val="en-GB"/>
    </w:rPr>
  </w:style>
  <w:style w:type="character" w:customStyle="1" w:styleId="91">
    <w:name w:val="TAH Char"/>
    <w:link w:val="53"/>
    <w:qFormat/>
    <w:uiPriority w:val="0"/>
    <w:rPr>
      <w:rFonts w:ascii="Arial" w:hAnsi="Arial"/>
      <w:b/>
      <w:sz w:val="18"/>
      <w:lang w:val="en-GB"/>
    </w:rPr>
  </w:style>
  <w:style w:type="character" w:customStyle="1" w:styleId="92">
    <w:name w:val="标题 4 字符"/>
    <w:link w:val="5"/>
    <w:qFormat/>
    <w:uiPriority w:val="0"/>
    <w:rPr>
      <w:rFonts w:ascii="Arial" w:hAnsi="Arial"/>
      <w:sz w:val="24"/>
      <w:lang w:val="en-GB"/>
    </w:rPr>
  </w:style>
  <w:style w:type="character" w:customStyle="1" w:styleId="93">
    <w:name w:val="标题 3 字符"/>
    <w:link w:val="4"/>
    <w:qFormat/>
    <w:uiPriority w:val="0"/>
    <w:rPr>
      <w:rFonts w:ascii="Arial" w:hAnsi="Arial"/>
      <w:sz w:val="28"/>
      <w:lang w:val="en-GB"/>
    </w:rPr>
  </w:style>
  <w:style w:type="character" w:customStyle="1" w:styleId="94">
    <w:name w:val="标题 6 字符"/>
    <w:link w:val="7"/>
    <w:qFormat/>
    <w:uiPriority w:val="0"/>
    <w:rPr>
      <w:rFonts w:ascii="Arial" w:hAnsi="Arial"/>
      <w:lang w:val="en-GB"/>
    </w:rPr>
  </w:style>
  <w:style w:type="character" w:customStyle="1" w:styleId="95">
    <w:name w:val="页脚 字符"/>
    <w:link w:val="33"/>
    <w:qFormat/>
    <w:uiPriority w:val="0"/>
    <w:rPr>
      <w:rFonts w:ascii="Arial" w:hAnsi="Arial"/>
      <w:b/>
      <w:i/>
      <w:sz w:val="18"/>
      <w:lang w:val="en-GB"/>
    </w:rPr>
  </w:style>
  <w:style w:type="character" w:customStyle="1" w:styleId="96">
    <w:name w:val="NO Char"/>
    <w:link w:val="58"/>
    <w:qFormat/>
    <w:uiPriority w:val="0"/>
    <w:rPr>
      <w:rFonts w:ascii="Times New Roman" w:hAnsi="Times New Roman"/>
      <w:lang w:val="en-GB"/>
    </w:rPr>
  </w:style>
  <w:style w:type="character" w:customStyle="1" w:styleId="97">
    <w:name w:val="PL Char"/>
    <w:link w:val="66"/>
    <w:qFormat/>
    <w:uiPriority w:val="0"/>
    <w:rPr>
      <w:rFonts w:ascii="Courier New" w:hAnsi="Courier New"/>
      <w:sz w:val="16"/>
      <w:lang w:val="en-GB"/>
    </w:rPr>
  </w:style>
  <w:style w:type="character" w:customStyle="1" w:styleId="98">
    <w:name w:val="EX Char"/>
    <w:link w:val="59"/>
    <w:qFormat/>
    <w:locked/>
    <w:uiPriority w:val="0"/>
    <w:rPr>
      <w:rFonts w:ascii="Times New Roman" w:hAnsi="Times New Roman"/>
      <w:lang w:val="en-GB"/>
    </w:rPr>
  </w:style>
  <w:style w:type="character" w:customStyle="1" w:styleId="99">
    <w:name w:val="B1 Char"/>
    <w:link w:val="77"/>
    <w:qFormat/>
    <w:uiPriority w:val="0"/>
    <w:rPr>
      <w:rFonts w:ascii="Times New Roman" w:hAnsi="Times New Roman"/>
      <w:lang w:val="en-GB"/>
    </w:rPr>
  </w:style>
  <w:style w:type="character" w:customStyle="1" w:styleId="100">
    <w:name w:val="Editor's Note Char"/>
    <w:link w:val="76"/>
    <w:qFormat/>
    <w:uiPriority w:val="0"/>
    <w:rPr>
      <w:rFonts w:ascii="Times New Roman" w:hAnsi="Times New Roman"/>
      <w:color w:val="FF0000"/>
      <w:lang w:val="en-GB"/>
    </w:rPr>
  </w:style>
  <w:style w:type="character" w:customStyle="1" w:styleId="101">
    <w:name w:val="TH Char"/>
    <w:link w:val="57"/>
    <w:qFormat/>
    <w:uiPriority w:val="0"/>
    <w:rPr>
      <w:rFonts w:ascii="Arial" w:hAnsi="Arial"/>
      <w:b/>
      <w:lang w:val="en-GB"/>
    </w:rPr>
  </w:style>
  <w:style w:type="character" w:customStyle="1" w:styleId="102">
    <w:name w:val="TF Char"/>
    <w:link w:val="56"/>
    <w:qFormat/>
    <w:uiPriority w:val="0"/>
    <w:rPr>
      <w:rFonts w:ascii="Arial" w:hAnsi="Arial"/>
      <w:b/>
      <w:lang w:val="en-GB"/>
    </w:rPr>
  </w:style>
  <w:style w:type="character" w:customStyle="1" w:styleId="103">
    <w:name w:val="B2 Char"/>
    <w:link w:val="78"/>
    <w:qFormat/>
    <w:uiPriority w:val="0"/>
    <w:rPr>
      <w:rFonts w:ascii="Times New Roman" w:hAnsi="Times New Roman"/>
      <w:lang w:val="en-GB"/>
    </w:rPr>
  </w:style>
  <w:style w:type="character" w:customStyle="1" w:styleId="104">
    <w:name w:val="B3 Char"/>
    <w:link w:val="79"/>
    <w:qFormat/>
    <w:uiPriority w:val="0"/>
    <w:rPr>
      <w:rFonts w:ascii="Times New Roman" w:hAnsi="Times New Roman"/>
      <w:lang w:val="en-GB"/>
    </w:rPr>
  </w:style>
  <w:style w:type="paragraph" w:customStyle="1" w:styleId="105">
    <w:name w:val="TAJ"/>
    <w:basedOn w:val="57"/>
    <w:qFormat/>
    <w:uiPriority w:val="0"/>
    <w:pPr>
      <w:overflowPunct w:val="0"/>
      <w:autoSpaceDE w:val="0"/>
      <w:autoSpaceDN w:val="0"/>
      <w:adjustRightInd w:val="0"/>
      <w:textAlignment w:val="baseline"/>
    </w:pPr>
  </w:style>
  <w:style w:type="paragraph" w:customStyle="1" w:styleId="106">
    <w:name w:val="Guidance"/>
    <w:basedOn w:val="1"/>
    <w:qFormat/>
    <w:uiPriority w:val="0"/>
    <w:pPr>
      <w:overflowPunct w:val="0"/>
      <w:autoSpaceDE w:val="0"/>
      <w:autoSpaceDN w:val="0"/>
      <w:adjustRightInd w:val="0"/>
      <w:textAlignment w:val="baseline"/>
    </w:pPr>
    <w:rPr>
      <w:i/>
      <w:color w:val="0000FF"/>
    </w:rPr>
  </w:style>
  <w:style w:type="paragraph" w:customStyle="1" w:styleId="107">
    <w:name w:val="修订1"/>
    <w:hidden/>
    <w:semiHidden/>
    <w:qFormat/>
    <w:uiPriority w:val="99"/>
    <w:pPr>
      <w:spacing w:after="160" w:line="278" w:lineRule="auto"/>
    </w:pPr>
    <w:rPr>
      <w:rFonts w:ascii="Times New Roman" w:hAnsi="Times New Roman" w:eastAsia="Times New Roman" w:cs="Times New Roman"/>
      <w:lang w:val="en-GB" w:eastAsia="en-US" w:bidi="ar-SA"/>
    </w:rPr>
  </w:style>
  <w:style w:type="character" w:customStyle="1" w:styleId="108">
    <w:name w:val="@他1"/>
    <w:semiHidden/>
    <w:unhideWhenUsed/>
    <w:qFormat/>
    <w:uiPriority w:val="99"/>
    <w:rPr>
      <w:color w:val="2B579A"/>
      <w:shd w:val="clear" w:color="auto" w:fill="E6E6E6"/>
    </w:rPr>
  </w:style>
  <w:style w:type="character" w:customStyle="1" w:styleId="109">
    <w:name w:val="脚注文本 字符"/>
    <w:link w:val="35"/>
    <w:qFormat/>
    <w:uiPriority w:val="0"/>
    <w:rPr>
      <w:rFonts w:ascii="Times New Roman" w:hAnsi="Times New Roman"/>
      <w:sz w:val="16"/>
      <w:lang w:val="en-GB"/>
    </w:rPr>
  </w:style>
  <w:style w:type="character" w:customStyle="1" w:styleId="110">
    <w:name w:val="批注文字 字符"/>
    <w:link w:val="29"/>
    <w:qFormat/>
    <w:uiPriority w:val="0"/>
    <w:rPr>
      <w:rFonts w:ascii="Times New Roman" w:hAnsi="Times New Roman"/>
      <w:lang w:val="en-GB"/>
    </w:rPr>
  </w:style>
  <w:style w:type="character" w:customStyle="1" w:styleId="111">
    <w:name w:val="批注主题 字符"/>
    <w:link w:val="41"/>
    <w:qFormat/>
    <w:uiPriority w:val="0"/>
    <w:rPr>
      <w:rFonts w:ascii="Times New Roman" w:hAnsi="Times New Roman"/>
      <w:b/>
      <w:bCs/>
      <w:lang w:val="en-GB"/>
    </w:rPr>
  </w:style>
  <w:style w:type="character" w:customStyle="1" w:styleId="112">
    <w:name w:val="文档结构图 字符"/>
    <w:link w:val="28"/>
    <w:qFormat/>
    <w:uiPriority w:val="0"/>
    <w:rPr>
      <w:rFonts w:ascii="Tahoma" w:hAnsi="Tahoma" w:cs="Tahoma"/>
      <w:shd w:val="clear" w:color="auto" w:fill="000080"/>
      <w:lang w:val="en-GB"/>
    </w:rPr>
  </w:style>
  <w:style w:type="paragraph" w:customStyle="1" w:styleId="113">
    <w:name w:val="Discusson B1"/>
    <w:basedOn w:val="88"/>
    <w:qFormat/>
    <w:uiPriority w:val="0"/>
    <w:pPr>
      <w:ind w:left="567" w:hanging="283"/>
    </w:pPr>
  </w:style>
  <w:style w:type="paragraph" w:customStyle="1" w:styleId="114">
    <w:name w:val="Discussion B2"/>
    <w:basedOn w:val="113"/>
    <w:qFormat/>
    <w:uiPriority w:val="0"/>
    <w:pPr>
      <w:ind w:left="851"/>
    </w:pPr>
  </w:style>
  <w:style w:type="character" w:customStyle="1" w:styleId="115">
    <w:name w:val="未处理的提及1"/>
    <w:basedOn w:val="44"/>
    <w:semiHidden/>
    <w:unhideWhenUsed/>
    <w:qFormat/>
    <w:uiPriority w:val="99"/>
    <w:rPr>
      <w:color w:val="605E5C"/>
      <w:shd w:val="clear" w:color="auto" w:fill="E1DFDD"/>
    </w:rPr>
  </w:style>
  <w:style w:type="paragraph" w:customStyle="1" w:styleId="116">
    <w:name w:val="3gpp title (city + tdoc number)"/>
    <w:basedOn w:val="34"/>
    <w:qFormat/>
    <w:uiPriority w:val="0"/>
    <w:pPr>
      <w:tabs>
        <w:tab w:val="right" w:pos="9923"/>
      </w:tabs>
      <w:ind w:right="-7"/>
    </w:pPr>
    <w:rPr>
      <w:rFonts w:cs="Arial"/>
      <w:bCs/>
      <w:sz w:val="24"/>
    </w:rPr>
  </w:style>
  <w:style w:type="character" w:customStyle="1" w:styleId="117">
    <w:name w:val="msoins"/>
    <w:qFormat/>
    <w:uiPriority w:val="0"/>
  </w:style>
  <w:style w:type="paragraph" w:customStyle="1" w:styleId="118">
    <w:name w:val="Revision"/>
    <w:hidden/>
    <w:unhideWhenUsed/>
    <w:uiPriority w:val="99"/>
    <w:pPr>
      <w:spacing w:after="0" w:line="240" w:lineRule="auto"/>
    </w:pPr>
    <w:rPr>
      <w:rFonts w:ascii="Times New Roman" w:hAnsi="Times New Roman" w:eastAsia="Times New Roman" w:cs="Times New Roman"/>
      <w:lang w:val="en-GB" w:eastAsia="en-US" w:bidi="ar-SA"/>
    </w:rPr>
  </w:style>
  <w:style w:type="paragraph" w:customStyle="1" w:styleId="119">
    <w:name w:val="Observation"/>
    <w:basedOn w:val="1"/>
    <w:link w:val="121"/>
    <w:qFormat/>
    <w:uiPriority w:val="0"/>
    <w:pPr>
      <w:numPr>
        <w:ilvl w:val="0"/>
        <w:numId w:val="1"/>
      </w:numPr>
      <w:tabs>
        <w:tab w:val="left" w:pos="1701"/>
      </w:tabs>
      <w:overflowPunct w:val="0"/>
      <w:autoSpaceDE w:val="0"/>
      <w:autoSpaceDN w:val="0"/>
      <w:adjustRightInd w:val="0"/>
      <w:spacing w:after="120" w:line="240" w:lineRule="auto"/>
      <w:ind w:left="1701" w:hanging="1701"/>
      <w:jc w:val="both"/>
      <w:textAlignment w:val="baseline"/>
    </w:pPr>
    <w:rPr>
      <w:rFonts w:ascii="Arial" w:hAnsi="Arial"/>
      <w:b/>
      <w:bCs/>
      <w:lang w:eastAsia="zh-CN"/>
    </w:rPr>
  </w:style>
  <w:style w:type="paragraph" w:customStyle="1" w:styleId="120">
    <w:name w:val="Proposal"/>
    <w:basedOn w:val="1"/>
    <w:link w:val="122"/>
    <w:qFormat/>
    <w:uiPriority w:val="0"/>
    <w:pPr>
      <w:numPr>
        <w:ilvl w:val="0"/>
        <w:numId w:val="2"/>
      </w:numPr>
      <w:tabs>
        <w:tab w:val="left" w:pos="1701"/>
      </w:tabs>
      <w:overflowPunct w:val="0"/>
      <w:autoSpaceDE w:val="0"/>
      <w:autoSpaceDN w:val="0"/>
      <w:adjustRightInd w:val="0"/>
      <w:spacing w:after="120" w:line="240" w:lineRule="auto"/>
      <w:jc w:val="both"/>
      <w:textAlignment w:val="baseline"/>
    </w:pPr>
    <w:rPr>
      <w:rFonts w:ascii="Arial" w:hAnsi="Arial"/>
      <w:b/>
      <w:bCs/>
      <w:lang w:eastAsia="zh-CN"/>
    </w:rPr>
  </w:style>
  <w:style w:type="character" w:customStyle="1" w:styleId="121">
    <w:name w:val="Observation Char"/>
    <w:basedOn w:val="44"/>
    <w:link w:val="119"/>
    <w:uiPriority w:val="0"/>
    <w:rPr>
      <w:rFonts w:ascii="Arial" w:hAnsi="Arial" w:eastAsia="Times New Roman"/>
      <w:b/>
      <w:bCs/>
      <w:lang w:val="en-GB"/>
    </w:rPr>
  </w:style>
  <w:style w:type="character" w:customStyle="1" w:styleId="122">
    <w:name w:val="Proposal Char"/>
    <w:basedOn w:val="44"/>
    <w:link w:val="120"/>
    <w:uiPriority w:val="0"/>
    <w:rPr>
      <w:rFonts w:ascii="Arial" w:hAnsi="Arial" w:eastAsia="Times New Roman"/>
      <w:b/>
      <w:bCs/>
      <w:lang w:val="en-GB"/>
    </w:rPr>
  </w:style>
  <w:style w:type="paragraph" w:styleId="123">
    <w:name w:val="List Paragraph"/>
    <w:basedOn w:val="1"/>
    <w:link w:val="124"/>
    <w:qFormat/>
    <w:uiPriority w:val="34"/>
    <w:pPr>
      <w:spacing w:line="240" w:lineRule="auto"/>
      <w:ind w:left="720"/>
      <w:contextualSpacing/>
      <w:jc w:val="both"/>
    </w:pPr>
    <w:rPr>
      <w:rFonts w:ascii="Arial" w:hAnsi="Arial" w:eastAsia="Arial Unicode MS"/>
    </w:rPr>
  </w:style>
  <w:style w:type="character" w:customStyle="1" w:styleId="124">
    <w:name w:val="列表段落 字符"/>
    <w:link w:val="123"/>
    <w:qFormat/>
    <w:locked/>
    <w:uiPriority w:val="34"/>
    <w:rPr>
      <w:rFonts w:ascii="Arial" w:hAnsi="Arial" w:eastAsia="Arial Unicode MS"/>
      <w:lang w:val="en-GB" w:eastAsia="en-US"/>
    </w:rPr>
  </w:style>
  <w:style w:type="character" w:customStyle="1" w:styleId="125">
    <w:name w:val="CR Cover Page Zchn"/>
    <w:link w:val="83"/>
    <w:qFormat/>
    <w:locked/>
    <w:uiPriority w:val="0"/>
    <w:rPr>
      <w:rFonts w:ascii="Arial" w:hAnsi="Arial" w:eastAsia="Times New Roman"/>
      <w:lang w:val="en-GB" w:eastAsia="en-US"/>
    </w:rPr>
  </w:style>
  <w:style w:type="paragraph" w:customStyle="1" w:styleId="126">
    <w:name w:val="Agreement"/>
    <w:next w:val="1"/>
    <w:qFormat/>
    <w:uiPriority w:val="99"/>
    <w:pPr>
      <w:numPr>
        <w:ilvl w:val="0"/>
        <w:numId w:val="3"/>
      </w:numPr>
      <w:spacing w:before="60" w:after="0" w:line="240" w:lineRule="auto"/>
    </w:pPr>
    <w:rPr>
      <w:rFonts w:ascii="Arial" w:hAnsi="Arial" w:eastAsia="MS Mincho" w:cs="Times New Roman"/>
      <w:b/>
      <w:szCs w:val="24"/>
      <w:lang w:val="en-GB" w:eastAsia="en-GB"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288266\Documents\&#33258;&#23450;&#20041;%20Office%20&#27169;&#26495;\Template%20for%20Text%20Proposal%20wor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5E24FC-0699-7641-86B7-A65763259B40}">
  <ds:schemaRefs/>
</ds:datastoreItem>
</file>

<file path=docProps/app.xml><?xml version="1.0" encoding="utf-8"?>
<Properties xmlns="http://schemas.openxmlformats.org/officeDocument/2006/extended-properties" xmlns:vt="http://schemas.openxmlformats.org/officeDocument/2006/docPropsVTypes">
  <Template>Template for Text Proposal word</Template>
  <Company>3GPP Support Team</Company>
  <Pages>4</Pages>
  <Words>1332</Words>
  <Characters>6864</Characters>
  <Lines>58</Lines>
  <Paragraphs>16</Paragraphs>
  <TotalTime>128</TotalTime>
  <ScaleCrop>false</ScaleCrop>
  <LinksUpToDate>false</LinksUpToDate>
  <CharactersWithSpaces>8158</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2024-08-05T17:19:00Z</dcterms:created>
  <dc:creator>ZTE</dc:creator>
  <cp:lastModifiedBy>renjianyang</cp:lastModifiedBy>
  <cp:lastPrinted>2411-12-31T15:59:00Z</cp:lastPrinted>
  <dcterms:modified xsi:type="dcterms:W3CDTF">2024-08-09T04:17:04Z</dcterms:modified>
  <dc:title>Template for Text Proposal - RAN3 Meeting no XXX</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2052-12.1.0.17147</vt:lpwstr>
  </property>
  <property fmtid="{D5CDD505-2E9C-101B-9397-08002B2CF9AE}" pid="4" name="ICV">
    <vt:lpwstr>968DAAFE65EB44ADA29619F18B020FB9_12</vt:lpwstr>
  </property>
</Properties>
</file>